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Expert Validation Results for the LLM-Based Pol-Mil Scenario Methodology</w:t>
      </w:r>
    </w:p>
    <w:p>
      <w:r>
        <w:t>This report summarizes the quantitative and qualitative results of the expert validation survey conducted for the LLM-based political-military scenario methodology. The results are prepared in English so that they can be incorporated into the validation or evaluation section of an academic paper.</w:t>
      </w:r>
    </w:p>
    <w:p>
      <w:pPr>
        <w:pStyle w:val="Heading1"/>
      </w:pPr>
      <w:r>
        <w:rPr>
          <w:rFonts w:ascii="Times New Roman" w:hAnsi="Times New Roman"/>
        </w:rPr>
        <w:t>1. Survey Data and Analytical Procedure</w:t>
      </w:r>
    </w:p>
    <w:p>
      <w:r>
        <w:t>The analysis was based on 18 expert responses collected in the worksheet of Expert_Responses.xlsx. Six Likert-scale items were analyzed as quantitative validation indicators. Each item was measured on a five-point scale, where higher scores indicate stronger expert agreement with the validity, plausibility, or reasonableness of the scenario outputs. Missing values were excluded on an item-by-item basis. Means and sample standard deviations were calculated for each item.</w:t>
      </w:r>
    </w:p>
    <w:p>
      <w:pPr>
        <w:pStyle w:val="Heading1"/>
      </w:pPr>
      <w:r>
        <w:rPr>
          <w:rFonts w:ascii="Times New Roman" w:hAnsi="Times New Roman"/>
        </w:rPr>
        <w:t>2. Quantitative Validation Results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rPr>
              <w:t>Item</w:t>
            </w:r>
          </w:p>
        </w:tc>
        <w:tc>
          <w:tcPr>
            <w:tcW w:type="dxa" w:w="1930"/>
          </w:tcPr>
          <w:p>
            <w:r>
              <w:rPr>
                <w:b/>
              </w:rPr>
              <w:t>Validation Dimension</w:t>
            </w:r>
          </w:p>
        </w:tc>
        <w:tc>
          <w:tcPr>
            <w:tcW w:type="dxa" w:w="1930"/>
          </w:tcPr>
          <w:p>
            <w:r>
              <w:rPr>
                <w:b/>
              </w:rPr>
              <w:t>Mean</w:t>
            </w:r>
          </w:p>
        </w:tc>
        <w:tc>
          <w:tcPr>
            <w:tcW w:type="dxa" w:w="1930"/>
          </w:tcPr>
          <w:p>
            <w:r>
              <w:rPr>
                <w:b/>
              </w:rPr>
              <w:t>SD</w:t>
            </w:r>
          </w:p>
        </w:tc>
        <w:tc>
          <w:tcPr>
            <w:tcW w:type="dxa" w:w="1930"/>
          </w:tcPr>
          <w:p>
            <w:r>
              <w:rPr>
                <w:b/>
              </w:rPr>
              <w:t>Valid N</w:t>
            </w:r>
          </w:p>
        </w:tc>
      </w:tr>
      <w:tr>
        <w:tc>
          <w:tcPr>
            <w:tcW w:type="dxa" w:w="1930"/>
          </w:tcPr>
          <w:p>
            <w:r>
              <w:t>Q1</w:t>
            </w:r>
          </w:p>
        </w:tc>
        <w:tc>
          <w:tcPr>
            <w:tcW w:type="dxa" w:w="1930"/>
          </w:tcPr>
          <w:p>
            <w:r>
              <w:t>Logical consistency of strategic choices and responses</w:t>
            </w:r>
          </w:p>
        </w:tc>
        <w:tc>
          <w:tcPr>
            <w:tcW w:type="dxa" w:w="1930"/>
          </w:tcPr>
          <w:p>
            <w:r>
              <w:t>3.94</w:t>
            </w:r>
          </w:p>
        </w:tc>
        <w:tc>
          <w:tcPr>
            <w:tcW w:type="dxa" w:w="1930"/>
          </w:tcPr>
          <w:p>
            <w:r>
              <w:t>0.56</w:t>
            </w:r>
          </w:p>
        </w:tc>
        <w:tc>
          <w:tcPr>
            <w:tcW w:type="dxa" w:w="1930"/>
          </w:tcPr>
          <w:p>
            <w:r>
              <w:t>17</w:t>
            </w:r>
          </w:p>
        </w:tc>
      </w:tr>
      <w:tr>
        <w:tc>
          <w:tcPr>
            <w:tcW w:type="dxa" w:w="1930"/>
          </w:tcPr>
          <w:p>
            <w:r>
              <w:t>Q2</w:t>
            </w:r>
          </w:p>
        </w:tc>
        <w:tc>
          <w:tcPr>
            <w:tcW w:type="dxa" w:w="1930"/>
          </w:tcPr>
          <w:p>
            <w:r>
              <w:t>Historical plausibility of Soviet diplomatic shift and limited U.S. military response</w:t>
            </w:r>
          </w:p>
        </w:tc>
        <w:tc>
          <w:tcPr>
            <w:tcW w:type="dxa" w:w="1930"/>
          </w:tcPr>
          <w:p>
            <w:r>
              <w:t>3.94</w:t>
            </w:r>
          </w:p>
        </w:tc>
        <w:tc>
          <w:tcPr>
            <w:tcW w:type="dxa" w:w="1930"/>
          </w:tcPr>
          <w:p>
            <w:r>
              <w:t>0.66</w:t>
            </w:r>
          </w:p>
        </w:tc>
        <w:tc>
          <w:tcPr>
            <w:tcW w:type="dxa" w:w="1930"/>
          </w:tcPr>
          <w:p>
            <w:r>
              <w:t>17</w:t>
            </w:r>
          </w:p>
        </w:tc>
      </w:tr>
      <w:tr>
        <w:tc>
          <w:tcPr>
            <w:tcW w:type="dxa" w:w="1930"/>
          </w:tcPr>
          <w:p>
            <w:r>
              <w:t>Q3</w:t>
            </w:r>
          </w:p>
        </w:tc>
        <w:tc>
          <w:tcPr>
            <w:tcW w:type="dxa" w:w="1930"/>
          </w:tcPr>
          <w:p>
            <w:r>
              <w:t>Natural and reasonable escalation dynamics across scenarios</w:t>
            </w:r>
          </w:p>
        </w:tc>
        <w:tc>
          <w:tcPr>
            <w:tcW w:type="dxa" w:w="1930"/>
          </w:tcPr>
          <w:p>
            <w:r>
              <w:t>4.00</w:t>
            </w:r>
          </w:p>
        </w:tc>
        <w:tc>
          <w:tcPr>
            <w:tcW w:type="dxa" w:w="1930"/>
          </w:tcPr>
          <w:p>
            <w:r>
              <w:t>0.59</w:t>
            </w:r>
          </w:p>
        </w:tc>
        <w:tc>
          <w:tcPr>
            <w:tcW w:type="dxa" w:w="1930"/>
          </w:tcPr>
          <w:p>
            <w:r>
              <w:t>18</w:t>
            </w:r>
          </w:p>
        </w:tc>
      </w:tr>
      <w:tr>
        <w:tc>
          <w:tcPr>
            <w:tcW w:type="dxa" w:w="1930"/>
          </w:tcPr>
          <w:p>
            <w:r>
              <w:t>Q4</w:t>
            </w:r>
          </w:p>
        </w:tc>
        <w:tc>
          <w:tcPr>
            <w:tcW w:type="dxa" w:w="1930"/>
          </w:tcPr>
          <w:p>
            <w:r>
              <w:t>Perceived rule-based derivation rather than retrospective historical reasoning</w:t>
            </w:r>
          </w:p>
        </w:tc>
        <w:tc>
          <w:tcPr>
            <w:tcW w:type="dxa" w:w="1930"/>
          </w:tcPr>
          <w:p>
            <w:r>
              <w:t>3.94</w:t>
            </w:r>
          </w:p>
        </w:tc>
        <w:tc>
          <w:tcPr>
            <w:tcW w:type="dxa" w:w="1930"/>
          </w:tcPr>
          <w:p>
            <w:r>
              <w:t>0.75</w:t>
            </w:r>
          </w:p>
        </w:tc>
        <w:tc>
          <w:tcPr>
            <w:tcW w:type="dxa" w:w="1930"/>
          </w:tcPr>
          <w:p>
            <w:r>
              <w:t>17</w:t>
            </w:r>
          </w:p>
        </w:tc>
      </w:tr>
      <w:tr>
        <w:tc>
          <w:tcPr>
            <w:tcW w:type="dxa" w:w="1930"/>
          </w:tcPr>
          <w:p>
            <w:r>
              <w:t>Q5</w:t>
            </w:r>
          </w:p>
        </w:tc>
        <w:tc>
          <w:tcPr>
            <w:tcW w:type="dxa" w:w="1930"/>
          </w:tcPr>
          <w:p>
            <w:r>
              <w:t>Distinctiveness of strategic choices and variable-driven outcomes</w:t>
            </w:r>
          </w:p>
        </w:tc>
        <w:tc>
          <w:tcPr>
            <w:tcW w:type="dxa" w:w="1930"/>
          </w:tcPr>
          <w:p>
            <w:r>
              <w:t>4.11</w:t>
            </w:r>
          </w:p>
        </w:tc>
        <w:tc>
          <w:tcPr>
            <w:tcW w:type="dxa" w:w="1930"/>
          </w:tcPr>
          <w:p>
            <w:r>
              <w:t>0.58</w:t>
            </w:r>
          </w:p>
        </w:tc>
        <w:tc>
          <w:tcPr>
            <w:tcW w:type="dxa" w:w="1930"/>
          </w:tcPr>
          <w:p>
            <w:r>
              <w:t>18</w:t>
            </w:r>
          </w:p>
        </w:tc>
      </w:tr>
      <w:tr>
        <w:tc>
          <w:tcPr>
            <w:tcW w:type="dxa" w:w="1930"/>
          </w:tcPr>
          <w:p>
            <w:r>
              <w:t>Q6</w:t>
            </w:r>
          </w:p>
        </w:tc>
        <w:tc>
          <w:tcPr>
            <w:tcW w:type="dxa" w:w="1930"/>
          </w:tcPr>
          <w:p>
            <w:r>
              <w:t>Overall reasonableness and non-excessiveness of the three final scenarios</w:t>
            </w:r>
          </w:p>
        </w:tc>
        <w:tc>
          <w:tcPr>
            <w:tcW w:type="dxa" w:w="1930"/>
          </w:tcPr>
          <w:p>
            <w:r>
              <w:t>3.83</w:t>
            </w:r>
          </w:p>
        </w:tc>
        <w:tc>
          <w:tcPr>
            <w:tcW w:type="dxa" w:w="1930"/>
          </w:tcPr>
          <w:p>
            <w:r>
              <w:t>0.62</w:t>
            </w:r>
          </w:p>
        </w:tc>
        <w:tc>
          <w:tcPr>
            <w:tcW w:type="dxa" w:w="1930"/>
          </w:tcPr>
          <w:p>
            <w:r>
              <w:t>18</w:t>
            </w:r>
          </w:p>
        </w:tc>
      </w:tr>
    </w:tbl>
    <w:p>
      <w:r>
        <w:t>The overall mean validity score across the six validation items was 3.96 out of 5.00. This result indicates that the expert panel generally evaluated the generated scenarios as valid, plausible, and reasonably structured. Among the six items, the highest mean score was observed for the distinctiveness of strategic choices and variable-driven outcomes (Q5, M = 4.11, SD = 0.58), suggesting that experts perceived meaningful differentiation among the scenario branches. The lowest mean score was observed for the overall reasonableness and non-excessiveness of the final scenarios (Q6, M = 3.83, SD = 0.62), indicating that some experts identified room for further refinement in the scope or intensity of the generated scenario outcomes.</w:t>
      </w:r>
    </w:p>
    <w:p>
      <w:pPr>
        <w:pStyle w:val="Heading1"/>
      </w:pPr>
      <w:r>
        <w:rPr>
          <w:rFonts w:ascii="Times New Roman" w:hAnsi="Times New Roman"/>
        </w:rPr>
        <w:t>3. Interpretation for Paper Validation</w:t>
      </w:r>
    </w:p>
    <w:p>
      <w:r>
        <w:t>The quantitative results provide supportive evidence for the internal validity of the proposed scenario methodology. Scores clustered around or above 4.00 for most items, which suggests that experts generally regarded the scenario logic, escalation patterns, and variable-based branching structure as coherent. The relatively moderate standard deviations indicate that expert evaluations were not highly dispersed, although some variation remained in judgments regarding historical plausibility and the extent to which the scenarios avoided excessive or dramatic outcomes.</w:t>
      </w:r>
    </w:p>
    <w:p>
      <w:r>
        <w:t>For the purposes of manuscript validation, these findings can be interpreted as evidence that the LLM-based Pol-Mil game design produced scenario outputs that were broadly acceptable to expert reviewers. At the same time, the results do not imply complete validation. Instead, they support a qualified conclusion: the framework demonstrates promising validity, while additional refinement is needed to improve historical transparency, causal traceability, and the realism of specific military decision pathways.</w:t>
      </w:r>
    </w:p>
    <w:p>
      <w:pPr>
        <w:pStyle w:val="Heading1"/>
      </w:pPr>
      <w:r>
        <w:rPr>
          <w:rFonts w:ascii="Times New Roman" w:hAnsi="Times New Roman"/>
        </w:rPr>
        <w:t>4. Qualitative Feedback Themes</w:t>
      </w:r>
    </w:p>
    <w:p>
      <w:r>
        <w:t>Eight open-ended responses were submitted. The qualitative comments were reviewed and grouped into the following major themes:</w:t>
      </w:r>
    </w:p>
    <w:p>
      <w:r>
        <w:rPr>
          <w:b/>
        </w:rPr>
        <w:t xml:space="preserve">Clarification of LLM prior knowledge and training-data influence: </w:t>
      </w:r>
      <w:r>
        <w:t>Several experts noted that the study should explain whether the generated scenarios were derived from the defined Pol-Mil game rules or from the model's pre-existing historical knowledge of the Cuban Missile Crisis. This issue is important because validation of the methodology depends on demonstrating that scenario outcomes were produced through the designed variable structure rather than simply reproduced from learned historical narratives.</w:t>
      </w:r>
    </w:p>
    <w:p>
      <w:r>
        <w:rPr>
          <w:b/>
        </w:rPr>
        <w:t xml:space="preserve">Need for stronger historical grounding of Soviet decision-making: </w:t>
      </w:r>
      <w:r>
        <w:t>Experts raised concerns about the plausibility of some Soviet military actions, especially in relation to nuclear command-and-control procedures. Comments suggested that the scenarios should more clearly differentiate between strategic and tactical nuclear authority, centralized command structures, and the conditions under which unauthorized or delegated launch decisions might be plausible.</w:t>
      </w:r>
    </w:p>
    <w:p>
      <w:r>
        <w:rPr>
          <w:b/>
        </w:rPr>
        <w:t xml:space="preserve">Refinement of escalation mechanisms leading to catastrophic outcomes: </w:t>
      </w:r>
      <w:r>
        <w:t>Some feedback indicated that the pathway from diplomatic and military tension to nuclear escalation should be elaborated more carefully. In particular, the role of warning-system errors, internal command confusion, and leadership cohesion could be specified in greater detail to strengthen causal plausibility.</w:t>
      </w:r>
    </w:p>
    <w:p>
      <w:r>
        <w:rPr>
          <w:b/>
        </w:rPr>
        <w:t xml:space="preserve">Reduction of evaluative or emotionally loaded language: </w:t>
      </w:r>
      <w:r>
        <w:t>One expert emphasized that excessive adjectives, dramatic expressions, or emotionally charged descriptions may weaken the perceived objectivity of the scenarios. More restrained and analytically neutral wording would improve academic credibility.</w:t>
      </w:r>
    </w:p>
    <w:p>
      <w:r>
        <w:rPr>
          <w:b/>
        </w:rPr>
        <w:t xml:space="preserve">Greater transparency of AI decision logic: </w:t>
      </w:r>
      <w:r>
        <w:t>Experts suggested that the study would benefit from making the AI's decision process more visible, for example through decision logs, variable-weight matrices, policy-preference vectors, or turn-by-turn explanations of how specific actions were selected.</w:t>
      </w:r>
    </w:p>
    <w:p>
      <w:r>
        <w:rPr>
          <w:b/>
        </w:rPr>
        <w:t xml:space="preserve">Potential value of interactive decision-making design: </w:t>
      </w:r>
      <w:r>
        <w:t>One response suggested that the model could be strengthened if participants were allowed to make strategic choices at each turn, with the scenario branching dynamically in response. Such an interactive structure could increase educational value and user engagement.</w:t>
      </w:r>
    </w:p>
    <w:p>
      <w:pPr>
        <w:pStyle w:val="Heading1"/>
      </w:pPr>
      <w:r>
        <w:rPr>
          <w:rFonts w:ascii="Times New Roman" w:hAnsi="Times New Roman"/>
        </w:rPr>
        <w:t>5. Suggested Manuscript Wording</w:t>
      </w:r>
    </w:p>
    <w:p>
      <w:r>
        <w:t>The expert validation survey produced an overall mean score of 3.96 out of 5.00 across six evaluation items, indicating generally positive expert assessments of the proposed LLM-based Pol-Mil scenario methodology. The highest-rated item concerned the distinctiveness of strategic choices and the variable-driven differentiation of scenario outcomes (M = 4.11, SD = 0.58), while the lowest-rated item concerned the overall reasonableness and non-excessiveness of the final scenarios (M = 3.83, SD = 0.62). These results suggest that the framework was perceived as logically coherent and capable of generating meaningfully differentiated scenario branches. However, expert comments also highlighted several areas requiring refinement, including the need to clarify the influence of the LLM's prior historical knowledge, strengthen the historical plausibility of Soviet nuclear command-and-control assumptions, reduce evaluative language, and provide greater transparency regarding the AI's variable-based decision process.</w:t>
      </w:r>
    </w:p>
    <w:p>
      <w:pPr>
        <w:pStyle w:val="Heading1"/>
      </w:pPr>
      <w:r>
        <w:rPr>
          <w:rFonts w:ascii="Times New Roman" w:hAnsi="Times New Roman"/>
        </w:rPr>
        <w:t>6. Summary Conclusion</w:t>
      </w:r>
    </w:p>
    <w:p>
      <w:r>
        <w:t>Overall, the expert validation results support the preliminary validity of the LLM-based Pol-Mil scenario methodology. The quantitative scores indicate favorable expert evaluations, while the qualitative feedback identifies concrete directions for methodological improvement. Therefore, the validation results can be presented as supportive but not definitive evidence: the proposed framework demonstrates analytical promise, but further refinement is necessary to improve explainability, historical grounding, and causal traceability.</w:t>
      </w:r>
    </w:p>
    <w:p>
      <w:pPr>
        <w:pStyle w:val="Heading1"/>
      </w:pPr>
      <w:r>
        <w:rPr>
          <w:rFonts w:ascii="Times New Roman" w:hAnsi="Times New Roman"/>
        </w:rPr>
        <w:t>Appendix: Open-Ended Response Count</w:t>
      </w:r>
    </w:p>
    <w:p>
      <w:r>
        <w:t>A total of 8 non-empty open-ended responses were identified. For research ethics and manuscript clarity, the responses were synthesized thematically rather than reproduced verbatim.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