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fb4dc01b6ec6f172723f12fb0dea3bbd880c95"/>
    <w:p>
      <w:pPr>
        <w:pStyle w:val="Heading1"/>
      </w:pPr>
      <w:r>
        <w:t xml:space="preserve">Figure legends (final figures to be drawn after v1.0 batch completes)</w:t>
      </w:r>
    </w:p>
    <w:bookmarkStart w:id="9" w:name="X564bf647532604d7d82cb625a5fa5e208cfed34"/>
    <w:p>
      <w:pPr>
        <w:pStyle w:val="Heading2"/>
      </w:pPr>
      <w:r>
        <w:t xml:space="preserve">Figure 1. System architecture of Geno Finder.</w:t>
      </w:r>
    </w:p>
    <w:p>
      <w:pPr>
        <w:pStyle w:val="FirstParagraph"/>
      </w:pPr>
      <w:r>
        <w:t xml:space="preserve">Four-tier layout.</w:t>
      </w:r>
      <w:r>
        <w:t xml:space="preserve"> </w:t>
      </w:r>
      <w:r>
        <w:rPr>
          <w:b/>
          <w:bCs/>
        </w:rPr>
        <w:t xml:space="preserve">(a) Client tier</w:t>
      </w:r>
      <w:r>
        <w:t xml:space="preserve">: Next.js 16 single-page application</w:t>
      </w:r>
      <w:r>
        <w:t xml:space="preserve"> </w:t>
      </w:r>
      <w:r>
        <w:t xml:space="preserve">with Firebase Authentication (Google sign-in) issuing ID tokens.</w:t>
      </w:r>
      <w:r>
        <w:t xml:space="preserve"> </w:t>
      </w:r>
      <w:r>
        <w:rPr>
          <w:b/>
          <w:bCs/>
        </w:rPr>
        <w:t xml:space="preserve">(b) API tier</w:t>
      </w:r>
      <w:r>
        <w:t xml:space="preserve">: FastAPI service that verifies tokens, sets the per-request</w:t>
      </w:r>
      <w:r>
        <w:t xml:space="preserve"> </w:t>
      </w:r>
      <w:r>
        <w:t xml:space="preserve">PostgreSQL</w:t>
      </w:r>
      <w:r>
        <w:t xml:space="preserve"> </w:t>
      </w:r>
      <w:r>
        <w:rPr>
          <w:rStyle w:val="VerbatimChar"/>
        </w:rPr>
        <w:t xml:space="preserve">app.tenant_id</w:t>
      </w:r>
      <w:r>
        <w:t xml:space="preserve"> </w:t>
      </w:r>
      <w:r>
        <w:t xml:space="preserve">for row-level security, and exposes endpoints</w:t>
      </w:r>
      <w:r>
        <w:t xml:space="preserve"> </w:t>
      </w:r>
      <w:r>
        <w:t xml:space="preserve">for search, dataset detail, cohort extraction (</w:t>
      </w:r>
      <w:r>
        <w:rPr>
          <w:rStyle w:val="VerbatimChar"/>
        </w:rPr>
        <w:t xml:space="preserve">POST /cohort/extract</w:t>
      </w:r>
      <w:r>
        <w:t xml:space="preserve">),</w:t>
      </w:r>
      <w:r>
        <w:t xml:space="preserve"> </w:t>
      </w:r>
      <w:r>
        <w:t xml:space="preserve">on-demand Korean translation, and download snippets.</w:t>
      </w:r>
      <w:r>
        <w:t xml:space="preserve"> </w:t>
      </w:r>
      <w:r>
        <w:rPr>
          <w:b/>
          <w:bCs/>
        </w:rPr>
        <w:t xml:space="preserve">(c) Storage and</w:t>
      </w:r>
      <w:r>
        <w:rPr>
          <w:b/>
          <w:bCs/>
        </w:rPr>
        <w:t xml:space="preserve"> </w:t>
      </w:r>
      <w:r>
        <w:rPr>
          <w:b/>
          <w:bCs/>
        </w:rPr>
        <w:t xml:space="preserve">search tier</w:t>
      </w:r>
      <w:r>
        <w:t xml:space="preserve">: PostgreSQL 16 (relational, RLS), Redis 8 (translation /</w:t>
      </w:r>
      <w:r>
        <w:t xml:space="preserve"> </w:t>
      </w:r>
      <w:r>
        <w:t xml:space="preserve">detail cache), Qdrant 1.12 (1024-dimensional dense index), OpenSearch</w:t>
      </w:r>
      <w:r>
        <w:t xml:space="preserve"> </w:t>
      </w:r>
      <w:r>
        <w:t xml:space="preserve">2.16 (BM25 lexical index).</w:t>
      </w:r>
      <w:r>
        <w:t xml:space="preserve"> </w:t>
      </w:r>
      <w:r>
        <w:rPr>
          <w:b/>
          <w:bCs/>
        </w:rPr>
        <w:t xml:space="preserve">(d) LLM tier</w:t>
      </w:r>
      <w:r>
        <w:t xml:space="preserve">: a private Ollama 0.23</w:t>
      </w:r>
      <w:r>
        <w:t xml:space="preserve"> </w:t>
      </w:r>
      <w:r>
        <w:t xml:space="preserve">instance on port 11435 with Gemma 4 31B for generation/translation and</w:t>
      </w:r>
      <w:r>
        <w:t xml:space="preserve"> </w:t>
      </w:r>
      <w:r>
        <w:t xml:space="preserve">Qwen3-Embedding-8B for indexing, plus a</w:t>
      </w:r>
      <w:r>
        <w:t xml:space="preserve"> </w:t>
      </w:r>
      <w:r>
        <w:rPr>
          <w:rStyle w:val="VerbatimChar"/>
        </w:rPr>
        <w:t xml:space="preserve">sentence_transformers</w:t>
      </w:r>
      <w:r>
        <w:t xml:space="preserve"> </w:t>
      </w:r>
      <w:r>
        <w:t xml:space="preserve">Qwen3-Reranker-0.6B in-process. All inference is local; no user data is</w:t>
      </w:r>
      <w:r>
        <w:t xml:space="preserve"> </w:t>
      </w:r>
      <w:r>
        <w:t xml:space="preserve">sent to external APIs.</w:t>
      </w:r>
    </w:p>
    <w:bookmarkEnd w:id="9"/>
    <w:bookmarkStart w:id="10" w:name="Xcc53684c5b1c4f8d2189a5bdd6da2212cd277b7"/>
    <w:p>
      <w:pPr>
        <w:pStyle w:val="Heading2"/>
      </w:pPr>
      <w:r>
        <w:t xml:space="preserve">Figure 2. Wall-clock breakdown of the six-stage v1.0 batch pipeline.</w:t>
      </w:r>
    </w:p>
    <w:p>
      <w:pPr>
        <w:pStyle w:val="FirstParagraph"/>
      </w:pPr>
      <w:r>
        <w:t xml:space="preserve">Horizontal stacked bar chart. Stages: (1) harvest GEO + HCA + GDC,</w:t>
      </w:r>
      <w:r>
        <w:t xml:space="preserve"> </w:t>
      </w:r>
      <w:r>
        <w:t xml:space="preserve">(2) LLM extraction of modality / ontology / cohort design (Gemma 4 31B),</w:t>
      </w:r>
      <w:r>
        <w:t xml:space="preserve"> </w:t>
      </w:r>
      <w:r>
        <w:t xml:space="preserve">(3) GEO Series Matrix sample-level backfill, (4) embedding indexing with</w:t>
      </w:r>
      <w:r>
        <w:t xml:space="preserve"> </w:t>
      </w:r>
      <w:r>
        <w:t xml:space="preserve">Qwen3-Embedding-8B → Matryoshka 1024d truncate, (5) Korean translation</w:t>
      </w:r>
      <w:r>
        <w:t xml:space="preserve"> </w:t>
      </w:r>
      <w:r>
        <w:t xml:space="preserve">pre-fill for the top-500 datasets, (6) PostgreSQL dump + Qdrant snapshot</w:t>
      </w:r>
      <w:r>
        <w:t xml:space="preserve"> </w:t>
      </w:r>
      <w:r>
        <w:t xml:space="preserve">+ Redis RDB. The total wall is approximately 14–20 hours for an</w:t>
      </w:r>
      <w:r>
        <w:t xml:space="preserve"> </w:t>
      </w:r>
      <w:r>
        <w:t xml:space="preserve">approximately 10,621-dataset corpus on a single A100 80GB GPU. The</w:t>
      </w:r>
      <w:r>
        <w:t xml:space="preserve"> </w:t>
      </w:r>
      <w:r>
        <w:t xml:space="preserve">LLM extraction stage dominates (~60–70% of the wall) and embedding is</w:t>
      </w:r>
      <w:r>
        <w:t xml:space="preserve"> </w:t>
      </w:r>
      <w:r>
        <w:t xml:space="preserve">the second largest (~10%).</w:t>
      </w:r>
    </w:p>
    <w:bookmarkEnd w:id="10"/>
    <w:bookmarkStart w:id="11" w:name="X13dfd3bee9c8d9cd4e12e17cf099b493f924697"/>
    <w:p>
      <w:pPr>
        <w:pStyle w:val="Heading2"/>
      </w:pPr>
      <w:r>
        <w:t xml:space="preserve">Figure 3. End-to-end search latency on the v1.0 corpus.</w:t>
      </w:r>
    </w:p>
    <w:p>
      <w:pPr>
        <w:pStyle w:val="FirstParagraph"/>
      </w:pPr>
      <w:r>
        <w:t xml:space="preserve">Histogram (or violin) over 30 ground-truth queries (15 English, 15</w:t>
      </w:r>
      <w:r>
        <w:t xml:space="preserve"> </w:t>
      </w:r>
      <w:r>
        <w:t xml:space="preserve">Korean) covering modality / disease / tissue / cohort-design intents.</w:t>
      </w:r>
      <w:r>
        <w:t xml:space="preserve"> </w:t>
      </w:r>
      <w:r>
        <w:t xml:space="preserve">For each query we record (a) embedding latency, (b) Qdrant top-200</w:t>
      </w:r>
      <w:r>
        <w:t xml:space="preserve"> </w:t>
      </w:r>
      <w:r>
        <w:t xml:space="preserve">retrieval latency, (c) OpenSearch top-200 retrieval latency, (d) RRF</w:t>
      </w:r>
      <w:r>
        <w:t xml:space="preserve"> </w:t>
      </w:r>
      <w:r>
        <w:t xml:space="preserve">fusion, (e) top-15 rerank with Qwen3-Reranker-0.6B. Sub-stage latencies</w:t>
      </w:r>
      <w:r>
        <w:t xml:space="preserve"> </w:t>
      </w:r>
      <w:r>
        <w:t xml:space="preserve">are stacked. Average end-to-end is expected to remain within 400 ms,</w:t>
      </w:r>
      <w:r>
        <w:t xml:space="preserve"> </w:t>
      </w:r>
      <w:r>
        <w:t xml:space="preserve">dominated by the reranker step. Korean queries are colour-coded</w:t>
      </w:r>
      <w:r>
        <w:t xml:space="preserve"> </w:t>
      </w:r>
      <w:r>
        <w:t xml:space="preserve">separately to show the multilingual capability of the Qwen3 stack.</w:t>
      </w:r>
    </w:p>
    <w:bookmarkEnd w:id="11"/>
    <w:bookmarkStart w:id="12" w:name="X26aeaa4130b809bbea97f44a0eaefe5d0534fe5"/>
    <w:p>
      <w:pPr>
        <w:pStyle w:val="Heading2"/>
      </w:pPr>
      <w:r>
        <w:t xml:space="preserve">Figure 4 (supplementary). Cohort-design extraction examples.</w:t>
      </w:r>
    </w:p>
    <w:p>
      <w:pPr>
        <w:pStyle w:val="FirstParagraph"/>
      </w:pPr>
      <w:r>
        <w:t xml:space="preserve">Three representative datasets selected from the v1.0 corpus, displayed</w:t>
      </w:r>
      <w:r>
        <w:t xml:space="preserve"> </w:t>
      </w:r>
      <w:r>
        <w:t xml:space="preserve">as the panel rendered by the</w:t>
      </w:r>
      <w:r>
        <w:t xml:space="preserve"> </w:t>
      </w:r>
      <w:r>
        <w:rPr>
          <w:i/>
          <w:iCs/>
        </w:rPr>
        <w:t xml:space="preserve">ExperimentDesign</w:t>
      </w:r>
      <w:r>
        <w:t xml:space="preserve"> </w:t>
      </w:r>
      <w:r>
        <w:t xml:space="preserve">component on the detail</w:t>
      </w:r>
      <w:r>
        <w:t xml:space="preserve"> </w:t>
      </w:r>
      <w:r>
        <w:t xml:space="preserve">page. For each: (a) abstract; (b) sample-factor distribution parsed</w:t>
      </w:r>
      <w:r>
        <w:t xml:space="preserve"> </w:t>
      </w:r>
      <w:r>
        <w:t xml:space="preserve">from the GEO Series Matrix; (c) Gemma-4-extracted JSON; (d) UI</w:t>
      </w:r>
      <w:r>
        <w:t xml:space="preserve"> </w:t>
      </w:r>
      <w:r>
        <w:t xml:space="preserve">rendering with group cards coloured by role (case / control /</w:t>
      </w:r>
      <w:r>
        <w:t xml:space="preserve"> </w:t>
      </w:r>
      <w:r>
        <w:t xml:space="preserve">treatment / comparison) and per-group</w:t>
      </w:r>
      <w:r>
        <w:t xml:space="preserve"> </w:t>
      </w:r>
      <w:r>
        <w:rPr>
          <w:rStyle w:val="VerbatimChar"/>
        </w:rPr>
        <w:t xml:space="preserve">n</w:t>
      </w:r>
      <w:r>
        <w:t xml:space="preserve">. The examples illustrate</w:t>
      </w:r>
      <w:r>
        <w:t xml:space="preserve"> </w:t>
      </w:r>
      <w:r>
        <w:t xml:space="preserve">(i) a three-arm observational</w:t>
      </w:r>
      <w:r>
        <w:t xml:space="preserve"> </w:t>
      </w:r>
      <w:r>
        <w:rPr>
          <w:rStyle w:val="VerbatimChar"/>
        </w:rPr>
        <w:t xml:space="preserve">cohort</w:t>
      </w:r>
      <w:r>
        <w:t xml:space="preserve"> </w:t>
      </w:r>
      <w:r>
        <w:t xml:space="preserve">(BCG bladder cancer), (ii) a</w:t>
      </w:r>
      <w:r>
        <w:t xml:space="preserve"> </w:t>
      </w:r>
      <w:r>
        <w:t xml:space="preserve">two-arm</w:t>
      </w:r>
      <w:r>
        <w:t xml:space="preserve"> </w:t>
      </w:r>
      <w:r>
        <w:rPr>
          <w:rStyle w:val="VerbatimChar"/>
        </w:rPr>
        <w:t xml:space="preserve">cohort</w:t>
      </w:r>
      <w:r>
        <w:t xml:space="preserve"> </w:t>
      </w:r>
      <w:r>
        <w:t xml:space="preserve">distinguished by age (</w:t>
      </w:r>
      <w:r>
        <w:rPr>
          <w:rStyle w:val="VerbatimChar"/>
        </w:rPr>
        <w:t xml:space="preserve">young (12wk)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old (68wk)</w:t>
      </w:r>
      <w:r>
        <w:t xml:space="preserve"> </w:t>
      </w:r>
      <w:r>
        <w:t xml:space="preserve">mouse cardiac aging), and (iii) a classical</w:t>
      </w:r>
      <w:r>
        <w:t xml:space="preserve"> </w:t>
      </w:r>
      <w:r>
        <w:rPr>
          <w:rStyle w:val="VerbatimChar"/>
        </w:rPr>
        <w:t xml:space="preserve">case_control</w:t>
      </w:r>
      <w:r>
        <w:t xml:space="preserve"> </w:t>
      </w:r>
      <w:r>
        <w:t xml:space="preserve">design.</w:t>
      </w:r>
    </w:p>
    <w:bookmarkEnd w:id="12"/>
    <w:bookmarkStart w:id="13" w:name="X365d209e2e77116d3856162af481019601aa1da"/>
    <w:p>
      <w:pPr>
        <w:pStyle w:val="Heading2"/>
      </w:pPr>
      <w:r>
        <w:t xml:space="preserve">Table 1. 3-way LLM comparison (cohort + Korean translation).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qwen3:8b</w:t>
            </w:r>
          </w:p>
        </w:tc>
        <w:tc>
          <w:tcPr/>
          <w:p>
            <w:pPr>
              <w:pStyle w:val="Compact"/>
            </w:pPr>
            <w:r>
              <w:t xml:space="preserve">gemma4:31b</w:t>
            </w:r>
          </w:p>
        </w:tc>
        <w:tc>
          <w:tcPr/>
          <w:p>
            <w:pPr>
              <w:pStyle w:val="Compact"/>
            </w:pPr>
            <w:r>
              <w:t xml:space="preserve">qwen3.5:27b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8.2B</w:t>
            </w:r>
          </w:p>
        </w:tc>
        <w:tc>
          <w:tcPr/>
          <w:p>
            <w:pPr>
              <w:pStyle w:val="Compact"/>
            </w:pPr>
            <w:r>
              <w:t xml:space="preserve">31.3B</w:t>
            </w:r>
          </w:p>
        </w:tc>
        <w:tc>
          <w:tcPr/>
          <w:p>
            <w:pPr>
              <w:pStyle w:val="Compact"/>
            </w:pPr>
            <w:r>
              <w:t xml:space="preserve">27.8B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VRAM at load</w:t>
            </w:r>
          </w:p>
        </w:tc>
        <w:tc>
          <w:tcPr/>
          <w:p>
            <w:pPr>
              <w:pStyle w:val="Compact"/>
            </w:pPr>
            <w:r>
              <w:t xml:space="preserve">11 GB</w:t>
            </w:r>
          </w:p>
        </w:tc>
        <w:tc>
          <w:tcPr/>
          <w:p>
            <w:pPr>
              <w:pStyle w:val="Compact"/>
            </w:pPr>
            <w:r>
              <w:t xml:space="preserve">47 GB</w:t>
            </w:r>
          </w:p>
        </w:tc>
        <w:tc>
          <w:tcPr/>
          <w:p>
            <w:pPr>
              <w:pStyle w:val="Compact"/>
            </w:pPr>
            <w:r>
              <w:t xml:space="preserve">42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length</w:t>
            </w:r>
          </w:p>
        </w:tc>
        <w:tc>
          <w:tcPr/>
          <w:p>
            <w:pPr>
              <w:pStyle w:val="Compact"/>
            </w:pPr>
            <w:r>
              <w:t xml:space="preserve">40k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 rate (warm)</w:t>
            </w:r>
          </w:p>
        </w:tc>
        <w:tc>
          <w:tcPr/>
          <w:p>
            <w:pPr>
              <w:pStyle w:val="Compact"/>
            </w:pPr>
            <w:r>
              <w:t xml:space="preserve">128 tok/s</w:t>
            </w:r>
          </w:p>
        </w:tc>
        <w:tc>
          <w:tcPr/>
          <w:p>
            <w:pPr>
              <w:pStyle w:val="Compact"/>
            </w:pPr>
            <w:r>
              <w:t xml:space="preserve">41 tok/s</w:t>
            </w:r>
          </w:p>
        </w:tc>
        <w:tc>
          <w:tcPr/>
          <w:p>
            <w:pPr>
              <w:pStyle w:val="Compact"/>
            </w:pPr>
            <w:r>
              <w:t xml:space="preserve">30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</w:t>
            </w:r>
            <w:r>
              <w:t xml:space="preserve"> </w:t>
            </w:r>
            <w:r>
              <w:rPr>
                <w:rStyle w:val="VerbatimChar"/>
              </w:rPr>
              <w:t xml:space="preserve">design_type</w:t>
            </w:r>
          </w:p>
        </w:tc>
        <w:tc>
          <w:tcPr/>
          <w:p>
            <w:pPr>
              <w:pStyle w:val="Compact"/>
            </w:pPr>
            <w:r>
              <w:t xml:space="preserve">case_control (✗)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cohort</w:t>
            </w:r>
            <w:r>
              <w:t xml:space="preserve"> </w:t>
            </w:r>
            <w:r>
              <w:t xml:space="preserve">(✓)</w:t>
            </w:r>
          </w:p>
        </w:tc>
        <w:tc>
          <w:tcPr/>
          <w:p>
            <w:pPr>
              <w:pStyle w:val="Compact"/>
            </w:pPr>
            <w:r>
              <w:t xml:space="preserve">case_control (✗)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 role assignment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</w:t>
            </w:r>
            <w:r>
              <w:t xml:space="preserve"> </w:t>
            </w:r>
            <w:r>
              <w:t xml:space="preserve">(case / comparison / control)</w:t>
            </w:r>
          </w:p>
        </w:tc>
        <w:tc>
          <w:tcPr/>
          <w:p>
            <w:pPr>
              <w:pStyle w:val="Compac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Korean translation register</w:t>
            </w:r>
          </w:p>
        </w:tc>
        <w:tc>
          <w:tcPr/>
          <w:p>
            <w:pPr>
              <w:pStyle w:val="Compact"/>
            </w:pPr>
            <w:r>
              <w:t xml:space="preserve">passable; CJK glyph residue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academic, terms preserved</w:t>
            </w:r>
          </w:p>
        </w:tc>
        <w:tc>
          <w:tcPr/>
          <w:p>
            <w:pPr>
              <w:pStyle w:val="Compact"/>
            </w:pPr>
            <w:r>
              <w:t xml:space="preserve">semantic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selection for v1.0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X4ad14b53391b77aa20d886c73f217d939bf05d5"/>
    <w:p>
      <w:pPr>
        <w:pStyle w:val="Heading2"/>
      </w:pPr>
      <w:r>
        <w:t xml:space="preserve">Table 2. v1.0 corpus composition (placeholder — to be finalised after batch).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Datasets in v1.0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≈ 10,000</w:t>
            </w:r>
          </w:p>
        </w:tc>
        <w:tc>
          <w:tcPr/>
          <w:p>
            <w:pPr>
              <w:pStyle w:val="Compact"/>
            </w:pPr>
            <w:r>
              <w:t xml:space="preserve">NCBI E-utilities, 365-day watermark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HCA</w:t>
            </w:r>
          </w:p>
        </w:tc>
        <w:tc>
          <w:tcPr/>
          <w:p>
            <w:pPr>
              <w:pStyle w:val="Compact"/>
            </w:pPr>
            <w:r>
              <w:t xml:space="preserve">≈ 530 (entire)</w:t>
            </w:r>
          </w:p>
        </w:tc>
        <w:tc>
          <w:tcPr/>
          <w:p>
            <w:pPr>
              <w:pStyle w:val="Compact"/>
            </w:pPr>
            <w:r>
              <w:t xml:space="preserve">Azul Data Browser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GDC</w:t>
            </w:r>
          </w:p>
        </w:tc>
        <w:tc>
          <w:tcPr/>
          <w:p>
            <w:pPr>
              <w:pStyle w:val="Compact"/>
            </w:pPr>
            <w:r>
              <w:t xml:space="preserve">≈ 91 (entire)</w:t>
            </w:r>
          </w:p>
        </w:tc>
        <w:tc>
          <w:tcPr/>
          <w:p>
            <w:pPr>
              <w:pStyle w:val="Compact"/>
            </w:pPr>
            <w:r>
              <w:t xml:space="preserve">NCI GDC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 </w:t>
            </w: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SRA</w:t>
            </w:r>
          </w:p>
        </w:tc>
        <w:tc>
          <w:tcPr/>
          <w:p>
            <w:pPr>
              <w:pStyle w:val="Compact"/>
            </w:pPr>
            <w:r>
              <w:t xml:space="preserve">0 (next release)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10,621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2026-05-13T09:51:36Z</dcterms:created>
  <dcterms:modified xsi:type="dcterms:W3CDTF">2026-05-13T09:51:36Z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