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Geno Finder: A multilingual research-design-aware search engine</w:t>
      </w:r>
      <w:r>
        <w:t xml:space="preserve"> </w:t>
      </w:r>
      <w:r>
        <w:t xml:space="preserve">for public biomedical datasets with local large language model</w:t>
      </w:r>
      <w:r>
        <w:t xml:space="preserve"> </w:t>
      </w:r>
      <w:r>
        <w:t xml:space="preserve">metadata enrichment</w:t>
      </w:r>
    </w:p>
    <w:p>
      <w:pPr>
        <w:pStyle w:val="Author"/>
      </w:pPr>
      <w:r>
        <w:t xml:space="preserve">Hojin Lee</w:t>
      </w:r>
      <w:r>
        <w:rPr>
          <w:vertAlign w:val="superscript"/>
        </w:rPr>
        <w:t xml:space="preserve">1</w:t>
      </w:r>
      <w:r>
        <w:t xml:space="preserve">*</w:t>
      </w:r>
    </w:p>
    <w:p>
      <w:pPr>
        <w:pStyle w:val="Author"/>
      </w:pPr>
      <w:r>
        <w:t xml:space="preserve">[Co-Authors TBD]</w:t>
      </w:r>
      <w:r>
        <w:rPr>
          <w:vertAlign w:val="superscript"/>
        </w:rPr>
        <w:t xml:space="preserve">1</w:t>
      </w:r>
    </w:p>
    <w:p>
      <w:pPr>
        <w:pStyle w:val="Date"/>
      </w:pPr>
      <w:r>
        <w:t xml:space="preserve">Draft — 2026-05-13</w:t>
      </w:r>
    </w:p>
    <w:p>
      <w:pPr>
        <w:pStyle w:val="AbstractTitle"/>
      </w:pPr>
      <w:r>
        <w:t xml:space="preserve">Abstract</w:t>
      </w:r>
    </w:p>
    <w:p>
      <w:pPr>
        <w:pStyle w:val="Abstract"/>
      </w:pPr>
      <w:r>
        <w:rPr>
          <w:b/>
          <w:bCs/>
        </w:rPr>
        <w:t xml:space="preserve">Background.</w:t>
      </w:r>
      <w:r>
        <w:t xml:space="preserve"> </w:t>
      </w:r>
      <w:r>
        <w:t xml:space="preserve">Public biomedical dataset catalogs such as NCBI GEO, the Human</w:t>
      </w:r>
      <w:r>
        <w:t xml:space="preserve"> </w:t>
      </w:r>
      <w:r>
        <w:t xml:space="preserve">Cell Atlas, the Genomic Data Commons, and the Sequence Read Archive together</w:t>
      </w:r>
      <w:r>
        <w:t xml:space="preserve"> </w:t>
      </w:r>
      <w:r>
        <w:t xml:space="preserve">host hundreds of thousands of studies, but each enforces its own metadata</w:t>
      </w:r>
      <w:r>
        <w:t xml:space="preserve"> </w:t>
      </w:r>
      <w:r>
        <w:t xml:space="preserve">schema and search interface. Non-English-speaking researchers face an</w:t>
      </w:r>
      <w:r>
        <w:t xml:space="preserve"> </w:t>
      </w:r>
      <w:r>
        <w:t xml:space="preserve">additional language barrier, and free-text fields make modality / disease /</w:t>
      </w:r>
      <w:r>
        <w:t xml:space="preserve"> </w:t>
      </w:r>
      <w:r>
        <w:t xml:space="preserve">tissue / cohort-structure filtering unreliable.</w:t>
      </w:r>
    </w:p>
    <w:p>
      <w:pPr>
        <w:pStyle w:val="Abstract"/>
      </w:pPr>
      <w:r>
        <w:rPr>
          <w:b/>
          <w:bCs/>
        </w:rPr>
        <w:t xml:space="preserve">Methods.</w:t>
      </w:r>
      <w:r>
        <w:t xml:space="preserve"> </w:t>
      </w:r>
      <w:r>
        <w:t xml:space="preserve">We present</w:t>
      </w:r>
      <w:r>
        <w:t xml:space="preserve"> </w:t>
      </w:r>
      <w:r>
        <w:rPr>
          <w:b/>
          <w:bCs/>
        </w:rPr>
        <w:t xml:space="preserve">Geno Finder</w:t>
      </w:r>
      <w:r>
        <w:t xml:space="preserve">, a multilingual hybrid search engine</w:t>
      </w:r>
      <w:r>
        <w:t xml:space="preserve"> </w:t>
      </w:r>
      <w:r>
        <w:t xml:space="preserve">that (i) harvests metadata from four primary catalogs into a single relational</w:t>
      </w:r>
      <w:r>
        <w:t xml:space="preserve"> </w:t>
      </w:r>
      <w:r>
        <w:t xml:space="preserve">store, (ii) uses a local Gemma 4 31B (Q4_K_M) large language model (LLM) to</w:t>
      </w:r>
      <w:r>
        <w:t xml:space="preserve"> </w:t>
      </w:r>
      <w:r>
        <w:t xml:space="preserve">normalize each record into a controlled vocabulary, OLS4 ontology CURIEs</w:t>
      </w:r>
      <w:r>
        <w:t xml:space="preserve"> </w:t>
      </w:r>
      <w:r>
        <w:t xml:space="preserve">(MONDO, UBERON, Cell Ontology), and a structured</w:t>
      </w:r>
      <w:r>
        <w:t xml:space="preserve"> </w:t>
      </w:r>
      <w:r>
        <w:rPr>
          <w:i/>
          <w:iCs/>
        </w:rPr>
        <w:t xml:space="preserve">cohort design</w:t>
      </w:r>
      <w:r>
        <w:t xml:space="preserve"> </w:t>
      </w:r>
      <w:r>
        <w:t xml:space="preserve">JSON, (iii)</w:t>
      </w:r>
      <w:r>
        <w:t xml:space="preserve"> </w:t>
      </w:r>
      <w:r>
        <w:t xml:space="preserve">combines Qwen3-Embedding-8B (Matryoshka-truncated to 1024 dimensions) dense</w:t>
      </w:r>
      <w:r>
        <w:t xml:space="preserve"> </w:t>
      </w:r>
      <w:r>
        <w:t xml:space="preserve">retrieval with BM25 lexical retrieval via Reciprocal Rank Fusion, and</w:t>
      </w:r>
      <w:r>
        <w:t xml:space="preserve"> </w:t>
      </w:r>
      <w:r>
        <w:t xml:space="preserve">re-ranks the top-15 candidates with Qwen3-Reranker-0.6B. All inference runs</w:t>
      </w:r>
      <w:r>
        <w:t xml:space="preserve"> </w:t>
      </w:r>
      <w:r>
        <w:t xml:space="preserve">on a single NVIDIA A100 80GB GPU within the institution; no user query is</w:t>
      </w:r>
      <w:r>
        <w:t xml:space="preserve"> </w:t>
      </w:r>
      <w:r>
        <w:t xml:space="preserve">ever sent to an external API.</w:t>
      </w:r>
    </w:p>
    <w:p>
      <w:pPr>
        <w:pStyle w:val="Abstract"/>
      </w:pPr>
      <w:r>
        <w:rPr>
          <w:b/>
          <w:bCs/>
        </w:rPr>
        <w:t xml:space="preserve">Results.</w:t>
      </w:r>
      <w:r>
        <w:t xml:space="preserve"> </w:t>
      </w:r>
      <w:r>
        <w:t xml:space="preserve">A one-cycle batch on a single A100 builds a v1.0 corpus of</w:t>
      </w:r>
      <w:r>
        <w:t xml:space="preserve"> </w:t>
      </w:r>
      <w:r>
        <w:t xml:space="preserve">approximately 10,621 datasets in ~14–20 hours. A 3-way head-to-head model</w:t>
      </w:r>
      <w:r>
        <w:t xml:space="preserve"> </w:t>
      </w:r>
      <w:r>
        <w:t xml:space="preserve">comparison shows that Gemma 4 31B produces clinically accurate cohort design</w:t>
      </w:r>
      <w:r>
        <w:t xml:space="preserve"> </w:t>
      </w:r>
      <w:r>
        <w:t xml:space="preserve">taxonomy (correctly classifying an observational responder/non-responder</w:t>
      </w:r>
      <w:r>
        <w:t xml:space="preserve"> </w:t>
      </w:r>
      <w:r>
        <w:t xml:space="preserve">study as</w:t>
      </w:r>
      <w:r>
        <w:t xml:space="preserve"> </w:t>
      </w:r>
      <w:r>
        <w:rPr>
          <w:rStyle w:val="VerbatimChar"/>
        </w:rPr>
        <w:t xml:space="preserve">cohort</w:t>
      </w:r>
      <w:r>
        <w:t xml:space="preserve">, not</w:t>
      </w:r>
      <w:r>
        <w:t xml:space="preserve"> </w:t>
      </w:r>
      <w:r>
        <w:rPr>
          <w:rStyle w:val="VerbatimChar"/>
        </w:rPr>
        <w:t xml:space="preserve">case_control</w:t>
      </w:r>
      <w:r>
        <w:t xml:space="preserve">) and academic-quality Korean</w:t>
      </w:r>
      <w:r>
        <w:t xml:space="preserve"> </w:t>
      </w:r>
      <w:r>
        <w:t xml:space="preserve">translations, where the same-class Qwen3.5-27B fails on the latter</w:t>
      </w:r>
      <w:r>
        <w:t xml:space="preserve"> </w:t>
      </w:r>
      <w:r>
        <w:t xml:space="preserve">(mistranslating</w:t>
      </w:r>
      <w:r>
        <w:t xml:space="preserve"> </w:t>
      </w:r>
      <w:r>
        <w:rPr>
          <w:i/>
          <w:iCs/>
        </w:rPr>
        <w:t xml:space="preserve">cardiac decline</w:t>
      </w:r>
      <w:r>
        <w:t xml:space="preserve"> </w:t>
      </w:r>
      <w:r>
        <w:t xml:space="preserve">as</w:t>
      </w:r>
      <w:r>
        <w:t xml:space="preserve"> </w:t>
      </w:r>
      <w:r>
        <w:rPr>
          <w:i/>
          <w:iCs/>
        </w:rPr>
        <w:t xml:space="preserve">heart-failure reduction</w:t>
      </w:r>
      <w:r>
        <w:t xml:space="preserve">). Average</w:t>
      </w:r>
      <w:r>
        <w:t xml:space="preserve"> </w:t>
      </w:r>
      <w:r>
        <w:t xml:space="preserve">end-to-end search latency, including re-ranking, stays within 400 ms on</w:t>
      </w:r>
      <w:r>
        <w:t xml:space="preserve"> </w:t>
      </w:r>
      <w:r>
        <w:t xml:space="preserve">modest hardware.</w:t>
      </w:r>
    </w:p>
    <w:p>
      <w:pPr>
        <w:pStyle w:val="Abstract"/>
      </w:pPr>
      <w:r>
        <w:rPr>
          <w:b/>
          <w:bCs/>
        </w:rPr>
        <w:t xml:space="preserve">Conclusions.</w:t>
      </w:r>
      <w:r>
        <w:t xml:space="preserve"> </w:t>
      </w:r>
      <w:r>
        <w:t xml:space="preserve">Geno Finder demonstrates that a paper-grade biomedical</w:t>
      </w:r>
      <w:r>
        <w:t xml:space="preserve"> </w:t>
      </w:r>
      <w:r>
        <w:t xml:space="preserve">dataset search engine — including non-English query support, cohort-design</w:t>
      </w:r>
      <w:r>
        <w:t xml:space="preserve"> </w:t>
      </w:r>
      <w:r>
        <w:t xml:space="preserve">extraction, and reproducible deployment on shared HPC without container</w:t>
      </w:r>
      <w:r>
        <w:t xml:space="preserve"> </w:t>
      </w:r>
      <w:r>
        <w:t xml:space="preserve">privileges — can be built end-to-end on local hardware. The complete native</w:t>
      </w:r>
      <w:r>
        <w:t xml:space="preserve"> </w:t>
      </w:r>
      <w:r>
        <w:t xml:space="preserve">bootstrap and batch pipelines, together with the source code, are released</w:t>
      </w:r>
      <w:r>
        <w:t xml:space="preserve"> </w:t>
      </w:r>
      <w:r>
        <w:t xml:space="preserve">under the project repository.</w:t>
      </w:r>
    </w:p>
    <w:bookmarkStart w:id="9" w:name="introduction"/>
    <w:p>
      <w:pPr>
        <w:pStyle w:val="Heading1"/>
      </w:pPr>
      <w:r>
        <w:t xml:space="preserve">1 Introduction</w:t>
      </w:r>
    </w:p>
    <w:p>
      <w:pPr>
        <w:pStyle w:val="FirstParagraph"/>
      </w:pPr>
      <w:r>
        <w:t xml:space="preserve">Biomedical research relies on the secondary analysis of public sequencing</w:t>
      </w:r>
      <w:r>
        <w:t xml:space="preserve"> </w:t>
      </w:r>
      <w:r>
        <w:t xml:space="preserve">datasets. A single-cell RNA-seq experiment can cost tens of thousands of</w:t>
      </w:r>
      <w:r>
        <w:t xml:space="preserve"> </w:t>
      </w:r>
      <w:r>
        <w:t xml:space="preserve">US dollars, and reuse is therefore a community-level economic and scientific</w:t>
      </w:r>
      <w:r>
        <w:t xml:space="preserve"> </w:t>
      </w:r>
      <w:r>
        <w:t xml:space="preserve">imperative</w:t>
      </w:r>
      <w:r>
        <w:t xml:space="preserve"> </w:t>
      </w:r>
      <w:r>
        <w:t xml:space="preserve">(</w:t>
      </w:r>
      <w:hyperlink w:anchor="ref-Edgar2002">
        <w:r>
          <w:rPr>
            <w:rStyle w:val="Hyperlink"/>
          </w:rPr>
          <w:t xml:space="preserve">Edgar et al. 2002</w:t>
        </w:r>
      </w:hyperlink>
      <w:r>
        <w:t xml:space="preserve">)</w:t>
      </w:r>
      <w:r>
        <w:t xml:space="preserve">. Yet locating the right dataset for a specific</w:t>
      </w:r>
      <w:r>
        <w:t xml:space="preserve"> </w:t>
      </w:r>
      <w:r>
        <w:t xml:space="preserve">research design — for example,</w:t>
      </w:r>
      <w:r>
        <w:t xml:space="preserve"> </w:t>
      </w:r>
      <w:r>
        <w:rPr>
          <w:i/>
          <w:iCs/>
        </w:rPr>
        <w:t xml:space="preserve">single-cell RNA-seq of human pancreatic beta</w:t>
      </w:r>
      <w:r>
        <w:rPr>
          <w:i/>
          <w:iCs/>
        </w:rPr>
        <w:t xml:space="preserve"> </w:t>
      </w:r>
      <w:r>
        <w:rPr>
          <w:i/>
          <w:iCs/>
        </w:rPr>
        <w:t xml:space="preserve">cells from type II diabetes patients</w:t>
      </w:r>
      <w:r>
        <w:t xml:space="preserve"> </w:t>
      </w:r>
      <w:r>
        <w:t xml:space="preserve">— remains slow. Three practical</w:t>
      </w:r>
      <w:r>
        <w:t xml:space="preserve"> </w:t>
      </w:r>
      <w:r>
        <w:t xml:space="preserve">barriers persist.</w:t>
      </w:r>
    </w:p>
    <w:p>
      <w:pPr>
        <w:pStyle w:val="BodyText"/>
      </w:pPr>
      <w:r>
        <w:t xml:space="preserve">First, data are scattered across at least four primary catalogs: NCBI GEO</w:t>
      </w:r>
      <w:r>
        <w:t xml:space="preserve"> </w:t>
      </w:r>
      <w:r>
        <w:t xml:space="preserve">(~280,000 series)</w:t>
      </w:r>
      <w:r>
        <w:t xml:space="preserve"> </w:t>
      </w:r>
      <w:r>
        <w:t xml:space="preserve">(</w:t>
      </w:r>
      <w:hyperlink w:anchor="ref-Edgar2002">
        <w:r>
          <w:rPr>
            <w:rStyle w:val="Hyperlink"/>
          </w:rPr>
          <w:t xml:space="preserve">Edgar et al. 2002</w:t>
        </w:r>
      </w:hyperlink>
      <w:r>
        <w:t xml:space="preserve">)</w:t>
      </w:r>
      <w:r>
        <w:t xml:space="preserve">, the Human Cell Atlas (HCA) Data Portal</w:t>
      </w:r>
      <w:r>
        <w:t xml:space="preserve"> </w:t>
      </w:r>
      <w:r>
        <w:t xml:space="preserve">(</w:t>
      </w:r>
      <w:hyperlink w:anchor="ref-HCA2017">
        <w:r>
          <w:rPr>
            <w:rStyle w:val="Hyperlink"/>
          </w:rPr>
          <w:t xml:space="preserve">The Human Cell Atlas Consortium 2017</w:t>
        </w:r>
      </w:hyperlink>
      <w:r>
        <w:t xml:space="preserve">)</w:t>
      </w:r>
      <w:r>
        <w:t xml:space="preserve">, the NCI Genomic Data Commons (GDC)</w:t>
      </w:r>
      <w:r>
        <w:t xml:space="preserve"> </w:t>
      </w:r>
      <w:r>
        <w:t xml:space="preserve">(</w:t>
      </w:r>
      <w:hyperlink w:anchor="ref-GDC2016">
        <w:r>
          <w:rPr>
            <w:rStyle w:val="Hyperlink"/>
          </w:rPr>
          <w:t xml:space="preserve">Grossman et al. 2016</w:t>
        </w:r>
      </w:hyperlink>
      <w:r>
        <w:t xml:space="preserve">)</w:t>
      </w:r>
      <w:r>
        <w:t xml:space="preserve">, and the Sequence</w:t>
      </w:r>
      <w:r>
        <w:t xml:space="preserve"> </w:t>
      </w:r>
      <w:r>
        <w:t xml:space="preserve">Read Archive (SRA)</w:t>
      </w:r>
      <w:r>
        <w:t xml:space="preserve"> </w:t>
      </w:r>
      <w:r>
        <w:t xml:space="preserve">(</w:t>
      </w:r>
      <w:hyperlink w:anchor="ref-Leinonen2011">
        <w:r>
          <w:rPr>
            <w:rStyle w:val="Hyperlink"/>
          </w:rPr>
          <w:t xml:space="preserve">Leinonen et al. 2011</w:t>
        </w:r>
      </w:hyperlink>
      <w:r>
        <w:t xml:space="preserve">)</w:t>
      </w:r>
      <w:r>
        <w:t xml:space="preserve">. Each provides its own metadata schema</w:t>
      </w:r>
      <w:r>
        <w:t xml:space="preserve"> </w:t>
      </w:r>
      <w:r>
        <w:t xml:space="preserve">and search interface. Second, key descriptors — assay modality, organism,</w:t>
      </w:r>
      <w:r>
        <w:t xml:space="preserve"> </w:t>
      </w:r>
      <w:r>
        <w:t xml:space="preserve">disease, tissue, cell type, and</w:t>
      </w:r>
      <w:r>
        <w:t xml:space="preserve"> </w:t>
      </w:r>
      <w:r>
        <w:rPr>
          <w:b/>
          <w:bCs/>
        </w:rPr>
        <w:t xml:space="preserve">cohort design</w:t>
      </w:r>
      <w:r>
        <w:t xml:space="preserve"> </w:t>
      </w:r>
      <w:r>
        <w:t xml:space="preserve">(how samples are split</w:t>
      </w:r>
      <w:r>
        <w:t xml:space="preserve"> </w:t>
      </w:r>
      <w:r>
        <w:t xml:space="preserve">into experimental groups) — are stored as free text written by data</w:t>
      </w:r>
      <w:r>
        <w:t xml:space="preserve"> </w:t>
      </w:r>
      <w:r>
        <w:t xml:space="preserve">submitters, defeating uniform filtering. Third, keyword-based queries fail</w:t>
      </w:r>
      <w:r>
        <w:t xml:space="preserve"> </w:t>
      </w:r>
      <w:r>
        <w:t xml:space="preserve">on synonyms (</w:t>
      </w:r>
      <w:r>
        <w:rPr>
          <w:i/>
          <w:iCs/>
        </w:rPr>
        <w:t xml:space="preserve">single-cell</w:t>
      </w:r>
      <w:r>
        <w:t xml:space="preserve">,</w:t>
      </w:r>
      <w:r>
        <w:t xml:space="preserve"> </w:t>
      </w:r>
      <w:r>
        <w:rPr>
          <w:i/>
          <w:iCs/>
        </w:rPr>
        <w:t xml:space="preserve">scRNA-seq</w:t>
      </w:r>
      <w:r>
        <w:t xml:space="preserve">,</w:t>
      </w:r>
      <w:r>
        <w:t xml:space="preserve"> </w:t>
      </w:r>
      <w:r>
        <w:rPr>
          <w:i/>
          <w:iCs/>
        </w:rPr>
        <w:t xml:space="preserve">single cell</w:t>
      </w:r>
      <w:r>
        <w:t xml:space="preserve">) and on natural</w:t>
      </w:r>
      <w:r>
        <w:t xml:space="preserve"> </w:t>
      </w:r>
      <w:r>
        <w:t xml:space="preserve">research-design phrasing (</w:t>
      </w:r>
      <w:r>
        <w:rPr>
          <w:i/>
          <w:iCs/>
        </w:rPr>
        <w:t xml:space="preserve">“comparison of immune cells during differentiation”</w:t>
      </w:r>
      <w:r>
        <w:t xml:space="preserve">).</w:t>
      </w:r>
      <w:r>
        <w:t xml:space="preserve"> </w:t>
      </w:r>
      <w:r>
        <w:t xml:space="preserve">For non-English researchers, the linguistic mismatch with English-only</w:t>
      </w:r>
      <w:r>
        <w:t xml:space="preserve"> </w:t>
      </w:r>
      <w:r>
        <w:t xml:space="preserve">catalogs adds an additional barrier.</w:t>
      </w:r>
    </w:p>
    <w:p>
      <w:pPr>
        <w:pStyle w:val="BodyText"/>
      </w:pPr>
      <w:r>
        <w:t xml:space="preserve">Recent work has explored dense passage retrieval</w:t>
      </w:r>
      <w:r>
        <w:t xml:space="preserve"> </w:t>
      </w:r>
      <w:r>
        <w:t xml:space="preserve">(</w:t>
      </w:r>
      <w:hyperlink w:anchor="ref-Karpukhin2020">
        <w:r>
          <w:rPr>
            <w:rStyle w:val="Hyperlink"/>
          </w:rPr>
          <w:t xml:space="preserve">Karpukhin et al. 2020</w:t>
        </w:r>
      </w:hyperlink>
      <w:r>
        <w:t xml:space="preserve">)</w:t>
      </w:r>
      <w:r>
        <w:t xml:space="preserve"> </w:t>
      </w:r>
      <w:r>
        <w:t xml:space="preserve">and its</w:t>
      </w:r>
      <w:r>
        <w:t xml:space="preserve"> </w:t>
      </w:r>
      <w:r>
        <w:t xml:space="preserve">fusion with BM25</w:t>
      </w:r>
      <w:r>
        <w:t xml:space="preserve"> </w:t>
      </w:r>
      <w:r>
        <w:t xml:space="preserve">(</w:t>
      </w:r>
      <w:hyperlink w:anchor="ref-Cormack2009">
        <w:r>
          <w:rPr>
            <w:rStyle w:val="Hyperlink"/>
          </w:rPr>
          <w:t xml:space="preserve">Cormack et al. 2009</w:t>
        </w:r>
      </w:hyperlink>
      <w:r>
        <w:t xml:space="preserve">;</w:t>
      </w:r>
      <w:r>
        <w:t xml:space="preserve"> </w:t>
      </w:r>
      <w:hyperlink w:anchor="ref-Ma2021">
        <w:r>
          <w:rPr>
            <w:rStyle w:val="Hyperlink"/>
          </w:rPr>
          <w:t xml:space="preserve">Ma et al. 2021</w:t>
        </w:r>
      </w:hyperlink>
      <w:r>
        <w:t xml:space="preserve">)</w:t>
      </w:r>
      <w:r>
        <w:t xml:space="preserve">, and cross-encoder re-ranking</w:t>
      </w:r>
      <w:r>
        <w:t xml:space="preserve"> </w:t>
      </w:r>
      <w:r>
        <w:t xml:space="preserve">(</w:t>
      </w:r>
      <w:hyperlink w:anchor="ref-Nogueira2019">
        <w:r>
          <w:rPr>
            <w:rStyle w:val="Hyperlink"/>
          </w:rPr>
          <w:t xml:space="preserve">Nogueira and Cho 2019</w:t>
        </w:r>
      </w:hyperlink>
      <w:r>
        <w:t xml:space="preserve">)</w:t>
      </w:r>
      <w:r>
        <w:t xml:space="preserve">, but few public biomedical search systems combine these</w:t>
      </w:r>
      <w:r>
        <w:t xml:space="preserve"> </w:t>
      </w:r>
      <w:r>
        <w:t xml:space="preserve">with multilingual support and LLM-driven metadata enrichment in a single,</w:t>
      </w:r>
      <w:r>
        <w:t xml:space="preserve"> </w:t>
      </w:r>
      <w:r>
        <w:t xml:space="preserve">privacy-preserving deployment. Cloud LLM services (GPT-4, Claude) cannot be</w:t>
      </w:r>
      <w:r>
        <w:t xml:space="preserve"> </w:t>
      </w:r>
      <w:r>
        <w:t xml:space="preserve">used at scale on user queries that may carry unpublished research intent</w:t>
      </w:r>
      <w:r>
        <w:t xml:space="preserve"> </w:t>
      </w:r>
      <w:r>
        <w:t xml:space="preserve">without breaching publication-priority norms.</w:t>
      </w:r>
    </w:p>
    <w:p>
      <w:pPr>
        <w:pStyle w:val="BodyText"/>
      </w:pPr>
      <w:r>
        <w:t xml:space="preserve">This paper presents</w:t>
      </w:r>
      <w:r>
        <w:t xml:space="preserve"> </w:t>
      </w:r>
      <w:r>
        <w:rPr>
          <w:b/>
          <w:bCs/>
        </w:rPr>
        <w:t xml:space="preserve">Geno Finder</w:t>
      </w:r>
      <w:r>
        <w:t xml:space="preserve">, a system that integrates the four</w:t>
      </w:r>
      <w:r>
        <w:t xml:space="preserve"> </w:t>
      </w:r>
      <w:r>
        <w:t xml:space="preserve">catalogs above into a single search index, normalizes their metadata into</w:t>
      </w:r>
      <w:r>
        <w:t xml:space="preserve"> </w:t>
      </w:r>
      <w:r>
        <w:t xml:space="preserve">controlled vocabularies and OLS4 ontology CURIEs</w:t>
      </w:r>
      <w:r>
        <w:t xml:space="preserve"> </w:t>
      </w:r>
      <w:r>
        <w:t xml:space="preserve">(</w:t>
      </w:r>
      <w:hyperlink w:anchor="ref-OLS4">
        <w:r>
          <w:rPr>
            <w:rStyle w:val="Hyperlink"/>
          </w:rPr>
          <w:t xml:space="preserve">EMBL-EBI, n.d.</w:t>
        </w:r>
      </w:hyperlink>
      <w:r>
        <w:t xml:space="preserve">)</w:t>
      </w:r>
      <w:r>
        <w:t xml:space="preserve"> </w:t>
      </w:r>
      <w:r>
        <w:t xml:space="preserve">via a local Gemma 4</w:t>
      </w:r>
      <w:r>
        <w:t xml:space="preserve"> </w:t>
      </w:r>
      <w:r>
        <w:t xml:space="preserve">31B</w:t>
      </w:r>
      <w:r>
        <w:t xml:space="preserve"> </w:t>
      </w:r>
      <w:r>
        <w:t xml:space="preserve">(</w:t>
      </w:r>
      <w:hyperlink w:anchor="ref-Gemma4">
        <w:r>
          <w:rPr>
            <w:rStyle w:val="Hyperlink"/>
          </w:rPr>
          <w:t xml:space="preserve">Google DeepMind 2026</w:t>
        </w:r>
      </w:hyperlink>
      <w:r>
        <w:t xml:space="preserve">)</w:t>
      </w:r>
      <w:r>
        <w:t xml:space="preserve"> </w:t>
      </w:r>
      <w:r>
        <w:t xml:space="preserve">LLM, retrieves with a Qwen3-based multilingual hybrid pipeline</w:t>
      </w:r>
      <w:r>
        <w:t xml:space="preserve"> </w:t>
      </w:r>
      <w:r>
        <w:t xml:space="preserve">(</w:t>
      </w:r>
      <w:hyperlink w:anchor="ref-Qwen3">
        <w:r>
          <w:rPr>
            <w:rStyle w:val="Hyperlink"/>
          </w:rPr>
          <w:t xml:space="preserve">Qwen Team 2025</w:t>
        </w:r>
      </w:hyperlink>
      <w:r>
        <w:t xml:space="preserve">)</w:t>
      </w:r>
      <w:r>
        <w:t xml:space="preserve">, and respects user-query privacy by running every inference on</w:t>
      </w:r>
      <w:r>
        <w:t xml:space="preserve"> </w:t>
      </w:r>
      <w:r>
        <w:t xml:space="preserve">institutional hardware. We make six contributions:</w:t>
      </w:r>
    </w:p>
    <w:p>
      <w:pPr>
        <w:pStyle w:val="Compact"/>
        <w:numPr>
          <w:ilvl w:val="0"/>
          <w:numId w:val="1001"/>
        </w:numPr>
      </w:pPr>
      <w:r>
        <w:rPr>
          <w:b/>
          <w:bCs/>
        </w:rPr>
        <w:t xml:space="preserve">Unified harvest</w:t>
      </w:r>
      <w:r>
        <w:t xml:space="preserve"> </w:t>
      </w:r>
      <w:r>
        <w:t xml:space="preserve">of four catalogs with watermark-based incremental</w:t>
      </w:r>
      <w:r>
        <w:t xml:space="preserve"> </w:t>
      </w:r>
      <w:r>
        <w:t xml:space="preserve">update.</w:t>
      </w:r>
    </w:p>
    <w:p>
      <w:pPr>
        <w:pStyle w:val="Compact"/>
        <w:numPr>
          <w:ilvl w:val="0"/>
          <w:numId w:val="1001"/>
        </w:numPr>
      </w:pPr>
      <w:r>
        <w:rPr>
          <w:b/>
          <w:bCs/>
        </w:rPr>
        <w:t xml:space="preserve">LLM-driven structured extraction</w:t>
      </w:r>
      <w:r>
        <w:t xml:space="preserve"> </w:t>
      </w:r>
      <w:r>
        <w:t xml:space="preserve">that emits modality, ontology CURIEs,</w:t>
      </w:r>
      <w:r>
        <w:t xml:space="preserve"> </w:t>
      </w:r>
      <w:r>
        <w:t xml:space="preserve">and</w:t>
      </w:r>
      <w:r>
        <w:t xml:space="preserve"> </w:t>
      </w:r>
      <w:r>
        <w:rPr>
          <w:i/>
          <w:iCs/>
        </w:rPr>
        <w:t xml:space="preserve">cohort design</w:t>
      </w:r>
      <w:r>
        <w:t xml:space="preserve"> </w:t>
      </w:r>
      <w:r>
        <w:t xml:space="preserve">(case/control/treatment/comparison labels plus</w:t>
      </w:r>
      <w:r>
        <w:t xml:space="preserve"> </w:t>
      </w:r>
      <w:r>
        <w:t xml:space="preserve">per-group</w:t>
      </w:r>
      <w:r>
        <w:t xml:space="preserve"> </w:t>
      </w:r>
      <w:r>
        <w:rPr>
          <w:rStyle w:val="VerbatimChar"/>
        </w:rPr>
        <w:t xml:space="preserve">n</w:t>
      </w:r>
      <w:r>
        <w:t xml:space="preserve"> </w:t>
      </w:r>
      <w:r>
        <w:t xml:space="preserve">and design type) from each record’s free text combined with</w:t>
      </w:r>
      <w:r>
        <w:t xml:space="preserve"> </w:t>
      </w:r>
      <w:r>
        <w:t xml:space="preserve">GEO Series Matrix sample-factor distributions.</w:t>
      </w:r>
    </w:p>
    <w:p>
      <w:pPr>
        <w:pStyle w:val="Compact"/>
        <w:numPr>
          <w:ilvl w:val="0"/>
          <w:numId w:val="1001"/>
        </w:numPr>
      </w:pPr>
      <w:r>
        <w:rPr>
          <w:b/>
          <w:bCs/>
        </w:rPr>
        <w:t xml:space="preserve">Multilingual 4-stage retrieval</w:t>
      </w:r>
      <w:r>
        <w:t xml:space="preserve">: Qwen3-Embedding-8B (Matryoshka 1024d)</w:t>
      </w:r>
      <w:r>
        <w:t xml:space="preserve"> </w:t>
      </w:r>
      <w:r>
        <w:t xml:space="preserve">dense + BM25 lexical, fused by Reciprocal Rank Fusion (k=60), then</w:t>
      </w:r>
      <w:r>
        <w:t xml:space="preserve"> </w:t>
      </w:r>
      <w:r>
        <w:t xml:space="preserve">re-ranked by Qwen3-Reranker-0.6B (Apache 2.0, 100+ languages).</w:t>
      </w:r>
    </w:p>
    <w:p>
      <w:pPr>
        <w:pStyle w:val="Compact"/>
        <w:numPr>
          <w:ilvl w:val="0"/>
          <w:numId w:val="1001"/>
        </w:numPr>
      </w:pPr>
      <w:r>
        <w:rPr>
          <w:b/>
          <w:bCs/>
        </w:rPr>
        <w:t xml:space="preserve">PostgreSQL Row-Level Security + envelope encryption</w:t>
      </w:r>
      <w:r>
        <w:t xml:space="preserve"> </w:t>
      </w:r>
      <w:r>
        <w:t xml:space="preserve">for multi-tenant</w:t>
      </w:r>
      <w:r>
        <w:t xml:space="preserve"> </w:t>
      </w:r>
      <w:r>
        <w:t xml:space="preserve">isolation, with zero external API calls for any LLM operation.</w:t>
      </w:r>
    </w:p>
    <w:p>
      <w:pPr>
        <w:pStyle w:val="Compact"/>
        <w:numPr>
          <w:ilvl w:val="0"/>
          <w:numId w:val="1001"/>
        </w:numPr>
      </w:pPr>
      <w:r>
        <w:rPr>
          <w:b/>
          <w:bCs/>
        </w:rPr>
        <w:t xml:space="preserve">Score decomposition</w:t>
      </w:r>
      <w:r>
        <w:t xml:space="preserve"> </w:t>
      </w:r>
      <w:r>
        <w:t xml:space="preserve">in the user interface — semantic, lexical, RRF,</w:t>
      </w:r>
      <w:r>
        <w:t xml:space="preserve"> </w:t>
      </w:r>
      <w:r>
        <w:t xml:space="preserve">and rerank scores are all exposed, refusing the conventional black-box</w:t>
      </w:r>
      <w:r>
        <w:t xml:space="preserve"> </w:t>
      </w:r>
      <w:r>
        <w:t xml:space="preserve">relevance bar.</w:t>
      </w:r>
    </w:p>
    <w:p>
      <w:pPr>
        <w:pStyle w:val="Compact"/>
        <w:numPr>
          <w:ilvl w:val="0"/>
          <w:numId w:val="1001"/>
        </w:numPr>
      </w:pPr>
      <w:r>
        <w:rPr>
          <w:b/>
          <w:bCs/>
        </w:rPr>
        <w:t xml:space="preserve">Container-free reproducible deployment</w:t>
      </w:r>
      <w:r>
        <w:t xml:space="preserve"> </w:t>
      </w:r>
      <w:r>
        <w:t xml:space="preserve">for shared HPC environments</w:t>
      </w:r>
      <w:r>
        <w:t xml:space="preserve"> </w:t>
      </w:r>
      <w:r>
        <w:t xml:space="preserve">where rootless</w:t>
      </w:r>
      <w:r>
        <w:t xml:space="preserve"> </w:t>
      </w:r>
      <w:r>
        <w:rPr>
          <w:rStyle w:val="VerbatimChar"/>
        </w:rPr>
        <w:t xml:space="preserve">podman</w:t>
      </w:r>
      <w:r>
        <w:t xml:space="preserve"> </w:t>
      </w:r>
      <w:r>
        <w:t xml:space="preserve">is constrained (missing</w:t>
      </w:r>
      <w:r>
        <w:t xml:space="preserve"> </w:t>
      </w:r>
      <w:r>
        <w:rPr>
          <w:rStyle w:val="VerbatimChar"/>
        </w:rPr>
        <w:t xml:space="preserve">subuid</w:t>
      </w:r>
      <w:r>
        <w:t xml:space="preserve"> </w:t>
      </w:r>
      <w:r>
        <w:t xml:space="preserve">allocations,</w:t>
      </w:r>
      <w:r>
        <w:t xml:space="preserve"> </w:t>
      </w:r>
      <w:r>
        <w:t xml:space="preserve">pre-CDI versions, NFS-mounted home directories).</w:t>
      </w:r>
    </w:p>
    <w:bookmarkEnd w:id="9"/>
    <w:bookmarkStart w:id="17" w:name="methods"/>
    <w:p>
      <w:pPr>
        <w:pStyle w:val="Heading1"/>
      </w:pPr>
      <w:r>
        <w:t xml:space="preserve">2 Methods</w:t>
      </w:r>
    </w:p>
    <w:bookmarkStart w:id="10" w:name="system-architecture"/>
    <w:p>
      <w:pPr>
        <w:pStyle w:val="Heading2"/>
      </w:pPr>
      <w:r>
        <w:t xml:space="preserve">2.1 System architecture</w:t>
      </w:r>
    </w:p>
    <w:p>
      <w:pPr>
        <w:pStyle w:val="FirstParagraph"/>
      </w:pPr>
      <w:r>
        <w:t xml:space="preserve">Figure 1 sketches the runtime topology. The web tier (Next.js 16) talks to a</w:t>
      </w:r>
      <w:r>
        <w:t xml:space="preserve"> </w:t>
      </w:r>
      <w:r>
        <w:t xml:space="preserve">FastAPI backend, which fans out to PostgreSQL 16 (relational store with</w:t>
      </w:r>
      <w:r>
        <w:t xml:space="preserve"> </w:t>
      </w:r>
      <w:r>
        <w:t xml:space="preserve">Row-Level Security), Redis 8 (translation and dataset caches), Qdrant 1.12</w:t>
      </w:r>
      <w:r>
        <w:t xml:space="preserve"> </w:t>
      </w:r>
      <w:r>
        <w:t xml:space="preserve">(1024-dimensional vector index), OpenSearch 2.16 (lexical index), and a local</w:t>
      </w:r>
      <w:r>
        <w:t xml:space="preserve"> </w:t>
      </w:r>
      <w:r>
        <w:t xml:space="preserve">Ollama 0.23 instance (Gemma 4 31B for generation, Qwen3-Embedding-8B for</w:t>
      </w:r>
      <w:r>
        <w:t xml:space="preserve"> </w:t>
      </w:r>
      <w:r>
        <w:t xml:space="preserve">indexing). The reranker (Qwen3-Reranker-0.6B) runs in-process via</w:t>
      </w:r>
      <w:r>
        <w:t xml:space="preserve"> </w:t>
      </w:r>
      <w:r>
        <w:t xml:space="preserve">sentence-transformers. The architecture is designed so that the Ollama and</w:t>
      </w:r>
      <w:r>
        <w:t xml:space="preserve"> </w:t>
      </w:r>
      <w:r>
        <w:t xml:space="preserve">reranker layers are interchangeable — model selection is driven by</w:t>
      </w:r>
      <w:r>
        <w:t xml:space="preserve"> </w:t>
      </w:r>
      <w:r>
        <w:t xml:space="preserve">environment variables rather than code (</w:t>
      </w:r>
      <w:r>
        <w:rPr>
          <w:rStyle w:val="VerbatimChar"/>
        </w:rPr>
        <w:t xml:space="preserve">OLLAMA_MODEL_EXTRACTION</w:t>
      </w:r>
      <w:r>
        <w:t xml:space="preserve">,</w:t>
      </w:r>
      <w:r>
        <w:t xml:space="preserve"> </w:t>
      </w:r>
      <w:r>
        <w:rPr>
          <w:rStyle w:val="VerbatimChar"/>
        </w:rPr>
        <w:t xml:space="preserve">OLLAMA_MODEL_EMBED</w:t>
      </w:r>
      <w:r>
        <w:t xml:space="preserve">,</w:t>
      </w:r>
      <w:r>
        <w:t xml:space="preserve"> </w:t>
      </w:r>
      <w:r>
        <w:rPr>
          <w:rStyle w:val="VerbatimChar"/>
        </w:rPr>
        <w:t xml:space="preserve">RERANKER_MODEL</w:t>
      </w:r>
      <w:r>
        <w:t xml:space="preserve">).</w:t>
      </w:r>
    </w:p>
    <w:p>
      <w:pPr>
        <w:pStyle w:val="BodyText"/>
      </w:pPr>
      <w:r>
        <w:t xml:space="preserve">[</w:t>
      </w:r>
      <w:r>
        <w:rPr>
          <w:b/>
          <w:bCs/>
        </w:rPr>
        <w:t xml:space="preserve">Figure 1</w:t>
      </w:r>
      <w:r>
        <w:t xml:space="preserve">: System architecture diagram, four-tier (web — API —</w:t>
      </w:r>
      <w:r>
        <w:t xml:space="preserve"> </w:t>
      </w:r>
      <w:r>
        <w:t xml:space="preserve">search/cache stores — local LLM). To be drawn after the v1.0 corpus is</w:t>
      </w:r>
      <w:r>
        <w:t xml:space="preserve"> </w:t>
      </w:r>
      <w:r>
        <w:t xml:space="preserve">finalised.]</w:t>
      </w:r>
    </w:p>
    <w:bookmarkEnd w:id="10"/>
    <w:bookmarkStart w:id="11" w:name="harvest"/>
    <w:p>
      <w:pPr>
        <w:pStyle w:val="Heading2"/>
      </w:pPr>
      <w:r>
        <w:t xml:space="preserve">2.2 Harvest</w:t>
      </w:r>
    </w:p>
    <w:p>
      <w:pPr>
        <w:pStyle w:val="FirstParagraph"/>
      </w:pPr>
      <w:r>
        <w:t xml:space="preserve">For each source we implement an asynchronous</w:t>
      </w:r>
      <w:r>
        <w:t xml:space="preserve"> </w:t>
      </w:r>
      <w:r>
        <w:rPr>
          <w:rStyle w:val="VerbatimChar"/>
        </w:rPr>
        <w:t xml:space="preserve">Harvester</w:t>
      </w:r>
      <w:r>
        <w:t xml:space="preserve"> </w:t>
      </w:r>
      <w:r>
        <w:t xml:space="preserve">protocol with</w:t>
      </w:r>
      <w:r>
        <w:t xml:space="preserve"> </w:t>
      </w:r>
      <w:r>
        <w:rPr>
          <w:rStyle w:val="VerbatimChar"/>
        </w:rPr>
        <w:t xml:space="preserve">list_updated_since(since: date)</w:t>
      </w:r>
      <w:r>
        <w:t xml:space="preserve"> </w:t>
      </w:r>
      <w:r>
        <w:t xml:space="preserve">and</w:t>
      </w:r>
      <w:r>
        <w:t xml:space="preserve"> </w:t>
      </w:r>
      <w:r>
        <w:rPr>
          <w:rStyle w:val="VerbatimChar"/>
        </w:rPr>
        <w:t xml:space="preserve">fetch_raw(uid: str)</w:t>
      </w:r>
      <w:r>
        <w:t xml:space="preserve"> </w:t>
      </w:r>
      <w:r>
        <w:t xml:space="preserve">methods. GEO is</w:t>
      </w:r>
      <w:r>
        <w:t xml:space="preserve"> </w:t>
      </w:r>
      <w:r>
        <w:t xml:space="preserve">queried via NCBI E-utilities (</w:t>
      </w:r>
      <w:r>
        <w:rPr>
          <w:rStyle w:val="VerbatimChar"/>
        </w:rPr>
        <w:t xml:space="preserve">esearch</w:t>
      </w:r>
      <w:r>
        <w:t xml:space="preserve"> </w:t>
      </w:r>
      <w:r>
        <w:t xml:space="preserve">then</w:t>
      </w:r>
      <w:r>
        <w:t xml:space="preserve"> </w:t>
      </w:r>
      <w:r>
        <w:rPr>
          <w:rStyle w:val="VerbatimChar"/>
        </w:rPr>
        <w:t xml:space="preserve">esummary</w:t>
      </w:r>
      <w:r>
        <w:t xml:space="preserve">), HCA via the Azul</w:t>
      </w:r>
      <w:r>
        <w:t xml:space="preserve"> </w:t>
      </w:r>
      <w:r>
        <w:t xml:space="preserve">project endpoint, GDC via its REST</w:t>
      </w:r>
      <w:r>
        <w:t xml:space="preserve"> </w:t>
      </w:r>
      <w:r>
        <w:rPr>
          <w:rStyle w:val="VerbatimChar"/>
        </w:rPr>
        <w:t xml:space="preserve">/projects</w:t>
      </w:r>
      <w:r>
        <w:t xml:space="preserve"> </w:t>
      </w:r>
      <w:r>
        <w:t xml:space="preserve">endpoint, and SRA via the</w:t>
      </w:r>
      <w:r>
        <w:t xml:space="preserve"> </w:t>
      </w:r>
      <w:r>
        <w:rPr>
          <w:rStyle w:val="VerbatimChar"/>
        </w:rPr>
        <w:t xml:space="preserve">bioproject</w:t>
      </w:r>
      <w:r>
        <w:t xml:space="preserve"> </w:t>
      </w:r>
      <w:r>
        <w:t xml:space="preserve">E-utilities (the SRA harvester is staged for the next release;</w:t>
      </w:r>
      <w:r>
        <w:t xml:space="preserve"> </w:t>
      </w:r>
      <w:r>
        <w:t xml:space="preserve">the present batch covers GEO + HCA + GDC). Harvest watermarks (</w:t>
      </w:r>
      <w:r>
        <w:rPr>
          <w:rStyle w:val="VerbatimChar"/>
        </w:rPr>
        <w:t xml:space="preserve">pdat</w:t>
      </w:r>
      <w:r>
        <w:t xml:space="preserve"> </w:t>
      </w:r>
      <w:r>
        <w:t xml:space="preserve">filters for NCBI) drive day-level incremental updates so that re-runs only</w:t>
      </w:r>
      <w:r>
        <w:t xml:space="preserve"> </w:t>
      </w:r>
      <w:r>
        <w:t xml:space="preserve">fetch newly published series. Without an API key the NCBI rate cap is 3</w:t>
      </w:r>
      <w:r>
        <w:t xml:space="preserve"> </w:t>
      </w:r>
      <w:r>
        <w:t xml:space="preserve">requests per second; we use</w:t>
      </w:r>
      <w:r>
        <w:t xml:space="preserve"> </w:t>
      </w:r>
      <w:r>
        <w:rPr>
          <w:rStyle w:val="VerbatimChar"/>
        </w:rPr>
        <w:t xml:space="preserve">asyncio</w:t>
      </w:r>
      <w:r>
        <w:t xml:space="preserve"> </w:t>
      </w:r>
      <w:r>
        <w:t xml:space="preserve">semaphores to keep concurrency below</w:t>
      </w:r>
      <w:r>
        <w:t xml:space="preserve"> </w:t>
      </w:r>
      <w:r>
        <w:t xml:space="preserve">this limit.</w:t>
      </w:r>
    </w:p>
    <w:bookmarkEnd w:id="11"/>
    <w:bookmarkStart w:id="12" w:name="llm-driven-structured-extraction"/>
    <w:p>
      <w:pPr>
        <w:pStyle w:val="Heading2"/>
      </w:pPr>
      <w:r>
        <w:t xml:space="preserve">2.3 LLM-driven structured extraction</w:t>
      </w:r>
    </w:p>
    <w:p>
      <w:pPr>
        <w:pStyle w:val="FirstParagraph"/>
      </w:pPr>
      <w:r>
        <w:t xml:space="preserve">Each record’s title, abstract, and raw catalog fields are fed to a local</w:t>
      </w:r>
      <w:r>
        <w:t xml:space="preserve"> </w:t>
      </w:r>
      <w:r>
        <w:t xml:space="preserve">Gemma 4 31B (Q4_K_M quantization, 262K-token context) running in Ollama. We</w:t>
      </w:r>
      <w:r>
        <w:t xml:space="preserve"> </w:t>
      </w:r>
      <w:r>
        <w:t xml:space="preserve">request a JSON object with the following keys:</w:t>
      </w:r>
      <w:r>
        <w:t xml:space="preserve"> </w:t>
      </w:r>
      <w:r>
        <w:rPr>
          <w:rStyle w:val="VerbatimChar"/>
        </w:rPr>
        <w:t xml:space="preserve">modality</w:t>
      </w:r>
      <w:r>
        <w:t xml:space="preserve"> </w:t>
      </w:r>
      <w:r>
        <w:t xml:space="preserve">(controlled</w:t>
      </w:r>
      <w:r>
        <w:t xml:space="preserve"> </w:t>
      </w:r>
      <w:r>
        <w:t xml:space="preserve">vocabulary of 28 assay types),</w:t>
      </w:r>
      <w:r>
        <w:t xml:space="preserve"> </w:t>
      </w:r>
      <w:r>
        <w:rPr>
          <w:rStyle w:val="VerbatimChar"/>
        </w:rPr>
        <w:t xml:space="preserve">organism_taxid</w:t>
      </w:r>
      <w:r>
        <w:t xml:space="preserve">,</w:t>
      </w:r>
      <w:r>
        <w:t xml:space="preserve"> </w:t>
      </w:r>
      <w:r>
        <w:rPr>
          <w:rStyle w:val="VerbatimChar"/>
        </w:rPr>
        <w:t xml:space="preserve">library_strategy</w:t>
      </w:r>
      <w:r>
        <w:t xml:space="preserve">,</w:t>
      </w:r>
      <w:r>
        <w:t xml:space="preserve"> </w:t>
      </w:r>
      <w:r>
        <w:rPr>
          <w:rStyle w:val="VerbatimChar"/>
        </w:rPr>
        <w:t xml:space="preserve">n_subjects</w:t>
      </w:r>
      <w:r>
        <w:t xml:space="preserve">,</w:t>
      </w:r>
      <w:r>
        <w:t xml:space="preserve"> </w:t>
      </w:r>
      <w:r>
        <w:rPr>
          <w:rStyle w:val="VerbatimChar"/>
        </w:rPr>
        <w:t xml:space="preserve">disease_curies</w:t>
      </w:r>
      <w:r>
        <w:t xml:space="preserve"> </w:t>
      </w:r>
      <w:r>
        <w:t xml:space="preserve">(MONDO),</w:t>
      </w:r>
      <w:r>
        <w:t xml:space="preserve"> </w:t>
      </w:r>
      <w:r>
        <w:rPr>
          <w:rStyle w:val="VerbatimChar"/>
        </w:rPr>
        <w:t xml:space="preserve">tissue_curies</w:t>
      </w:r>
      <w:r>
        <w:t xml:space="preserve"> </w:t>
      </w:r>
      <w:r>
        <w:t xml:space="preserve">(UBERON), and</w:t>
      </w:r>
      <w:r>
        <w:t xml:space="preserve"> </w:t>
      </w:r>
      <w:r>
        <w:rPr>
          <w:rStyle w:val="VerbatimChar"/>
        </w:rPr>
        <w:t xml:space="preserve">cell_type_curies</w:t>
      </w:r>
      <w:r>
        <w:t xml:space="preserve"> </w:t>
      </w:r>
      <w:r>
        <w:t xml:space="preserve">(CL). Free-text disease / tissue / cell-type strings</w:t>
      </w:r>
      <w:r>
        <w:t xml:space="preserve"> </w:t>
      </w:r>
      <w:r>
        <w:t xml:space="preserve">emitted by the LLM are then normalised against OLS4</w:t>
      </w:r>
      <w:r>
        <w:t xml:space="preserve"> </w:t>
      </w:r>
      <w:r>
        <w:t xml:space="preserve">(</w:t>
      </w:r>
      <w:hyperlink w:anchor="ref-OLS4">
        <w:r>
          <w:rPr>
            <w:rStyle w:val="Hyperlink"/>
          </w:rPr>
          <w:t xml:space="preserve">EMBL-EBI, n.d.</w:t>
        </w:r>
      </w:hyperlink>
      <w:r>
        <w:t xml:space="preserve">)</w:t>
      </w:r>
      <w:r>
        <w:t xml:space="preserve"> </w:t>
      </w:r>
      <w:r>
        <w:t xml:space="preserve">by exact-label</w:t>
      </w:r>
      <w:r>
        <w:t xml:space="preserve"> </w:t>
      </w:r>
      <w:r>
        <w:t xml:space="preserve">and exact-synonym lookup. Records that fail extraction are written to an</w:t>
      </w:r>
      <w:r>
        <w:t xml:space="preserve"> </w:t>
      </w:r>
      <w:r>
        <w:rPr>
          <w:rStyle w:val="VerbatimChar"/>
        </w:rPr>
        <w:t xml:space="preserve">extraction_failures</w:t>
      </w:r>
      <w:r>
        <w:t xml:space="preserve"> </w:t>
      </w:r>
      <w:r>
        <w:t xml:space="preserve">table together with their raw input, enabling re-runs</w:t>
      </w:r>
      <w:r>
        <w:t xml:space="preserve"> </w:t>
      </w:r>
      <w:r>
        <w:t xml:space="preserve">once the prompt or model evolves.</w:t>
      </w:r>
    </w:p>
    <w:p>
      <w:pPr>
        <w:pStyle w:val="BodyText"/>
      </w:pPr>
      <w:r>
        <w:t xml:space="preserve">A practical Ollama-specific note: reasoning-capable models such as Gemma 4</w:t>
      </w:r>
      <w:r>
        <w:t xml:space="preserve"> </w:t>
      </w:r>
      <w:r>
        <w:t xml:space="preserve">emit</w:t>
      </w:r>
      <w:r>
        <w:t xml:space="preserve"> </w:t>
      </w:r>
      <w:r>
        <w:t xml:space="preserve">“thinking”</w:t>
      </w:r>
      <w:r>
        <w:t xml:space="preserve"> </w:t>
      </w:r>
      <w:r>
        <w:t xml:space="preserve">tokens before any visible response. When invoked with</w:t>
      </w:r>
      <w:r>
        <w:t xml:space="preserve"> </w:t>
      </w:r>
      <w:r>
        <w:rPr>
          <w:rStyle w:val="VerbatimChar"/>
        </w:rPr>
        <w:t xml:space="preserve">format: "json"</w:t>
      </w:r>
      <w:r>
        <w:t xml:space="preserve"> </w:t>
      </w:r>
      <w:r>
        <w:rPr>
          <w:i/>
          <w:iCs/>
        </w:rPr>
        <w:t xml:space="preserve">without</w:t>
      </w:r>
      <w:r>
        <w:t xml:space="preserve"> </w:t>
      </w:r>
      <w:r>
        <w:t xml:space="preserve">the</w:t>
      </w:r>
      <w:r>
        <w:t xml:space="preserve"> </w:t>
      </w:r>
      <w:r>
        <w:rPr>
          <w:rStyle w:val="VerbatimChar"/>
        </w:rPr>
        <w:t xml:space="preserve">think: false</w:t>
      </w:r>
      <w:r>
        <w:t xml:space="preserve"> </w:t>
      </w:r>
      <w:r>
        <w:t xml:space="preserve">flag, the model consumes its</w:t>
      </w:r>
      <w:r>
        <w:t xml:space="preserve"> </w:t>
      </w:r>
      <w:r>
        <w:t xml:space="preserve">entire generation budget on hidden tokens and returns empty content. We set</w:t>
      </w:r>
      <w:r>
        <w:t xml:space="preserve"> </w:t>
      </w:r>
      <w:r>
        <w:rPr>
          <w:rStyle w:val="VerbatimChar"/>
        </w:rPr>
        <w:t xml:space="preserve">think: false</w:t>
      </w:r>
      <w:r>
        <w:t xml:space="preserve"> </w:t>
      </w:r>
      <w:r>
        <w:t xml:space="preserve">by default in the client (</w:t>
      </w:r>
      <w:r>
        <w:rPr>
          <w:rStyle w:val="VerbatimChar"/>
        </w:rPr>
        <w:t xml:space="preserve">apps/workers/src/extractors/ llm_client.py</w:t>
      </w:r>
      <w:r>
        <w:t xml:space="preserve">); non-reasoning models such as Qwen3-8B simply ignore the</w:t>
      </w:r>
      <w:r>
        <w:t xml:space="preserve"> </w:t>
      </w:r>
      <w:r>
        <w:t xml:space="preserve">flag.</w:t>
      </w:r>
    </w:p>
    <w:bookmarkEnd w:id="12"/>
    <w:bookmarkStart w:id="13" w:name="cohort-design-extraction"/>
    <w:p>
      <w:pPr>
        <w:pStyle w:val="Heading2"/>
      </w:pPr>
      <w:r>
        <w:t xml:space="preserve">2.4 Cohort-design extraction</w:t>
      </w:r>
    </w:p>
    <w:p>
      <w:pPr>
        <w:pStyle w:val="FirstParagraph"/>
      </w:pPr>
      <w:r>
        <w:t xml:space="preserve">Beyond per-record taxonomy, we extract the</w:t>
      </w:r>
      <w:r>
        <w:t xml:space="preserve"> </w:t>
      </w:r>
      <w:r>
        <w:rPr>
          <w:b/>
          <w:bCs/>
        </w:rPr>
        <w:t xml:space="preserve">experimental group structure</w:t>
      </w:r>
      <w:r>
        <w:t xml:space="preserve"> </w:t>
      </w:r>
      <w:r>
        <w:t xml:space="preserve">of each study. The prompt receives both the abstract and, where available,</w:t>
      </w:r>
      <w:r>
        <w:t xml:space="preserve"> </w:t>
      </w:r>
      <w:r>
        <w:t xml:space="preserve">the</w:t>
      </w:r>
      <w:r>
        <w:t xml:space="preserve"> </w:t>
      </w:r>
      <w:r>
        <w:rPr>
          <w:i/>
          <w:iCs/>
        </w:rPr>
        <w:t xml:space="preserve">sample factor distribution</w:t>
      </w:r>
      <w:r>
        <w:t xml:space="preserve"> </w:t>
      </w:r>
      <w:r>
        <w:t xml:space="preserve">parsed from the GEO Series Matrix file</w:t>
      </w:r>
      <w:r>
        <w:t xml:space="preserve"> </w:t>
      </w:r>
      <w:r>
        <w:t xml:space="preserve">(</w:t>
      </w:r>
      <w:r>
        <w:rPr>
          <w:rStyle w:val="VerbatimChar"/>
        </w:rPr>
        <w:t xml:space="preserve">!Sample_characteristics_ch1</w:t>
      </w:r>
      <w:r>
        <w:t xml:space="preserve"> </w:t>
      </w:r>
      <w:r>
        <w:t xml:space="preserve">rows). The LLM emits a JSON object of the</w:t>
      </w:r>
      <w:r>
        <w:t xml:space="preserve"> </w:t>
      </w:r>
      <w:r>
        <w:t xml:space="preserve">form</w:t>
      </w:r>
    </w:p>
    <w:p>
      <w:pPr>
        <w:pStyle w:val="SourceCode"/>
      </w:pPr>
      <w:r>
        <w:rPr>
          <w:rStyle w:val="FunctionTok"/>
        </w:rPr>
        <w:t xml:space="preserve">{</w:t>
      </w:r>
      <w:r>
        <w:br/>
      </w:r>
      <w:r>
        <w:rPr>
          <w:rStyle w:val="NormalTok"/>
        </w:rPr>
        <w:t xml:space="preserve">  </w:t>
      </w:r>
      <w:r>
        <w:rPr>
          <w:rStyle w:val="DataTypeTok"/>
        </w:rPr>
        <w:t xml:space="preserve">"groups"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"label"</w:t>
      </w:r>
      <w:r>
        <w:rPr>
          <w:rStyle w:val="FunctionTok"/>
        </w:rPr>
        <w:t xml:space="preserve">:</w:t>
      </w:r>
      <w:r>
        <w:rPr>
          <w:rStyle w:val="NormalTok"/>
        </w:rPr>
        <w:t xml:space="preserve"> </w:t>
      </w:r>
      <w:r>
        <w:rPr>
          <w:rStyle w:val="StringTok"/>
        </w:rPr>
        <w:t xml:space="preserve">"BCG responsive"</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"case"</w:t>
      </w:r>
      <w:r>
        <w:rPr>
          <w:rStyle w:val="FunctionTok"/>
        </w:rPr>
        <w:t xml:space="preserve">,</w:t>
      </w:r>
      <w:r>
        <w:br/>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"criteria"</w:t>
      </w:r>
      <w:r>
        <w:rPr>
          <w:rStyle w:val="FunctionTok"/>
        </w:rPr>
        <w:t xml:space="preserve">:</w:t>
      </w:r>
      <w:r>
        <w:rPr>
          <w:rStyle w:val="NormalTok"/>
        </w:rPr>
        <w:t xml:space="preserve"> </w:t>
      </w:r>
      <w:r>
        <w:rPr>
          <w:rStyle w:val="StringTok"/>
        </w:rPr>
        <w:t xml:space="preserve">"patients responsive to BCG treatment"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"label"</w:t>
      </w:r>
      <w:r>
        <w:rPr>
          <w:rStyle w:val="FunctionTok"/>
        </w:rPr>
        <w:t xml:space="preserve">:</w:t>
      </w:r>
      <w:r>
        <w:rPr>
          <w:rStyle w:val="NormalTok"/>
        </w:rPr>
        <w:t xml:space="preserve"> </w:t>
      </w:r>
      <w:r>
        <w:rPr>
          <w:rStyle w:val="StringTok"/>
        </w:rPr>
        <w:t xml:space="preserve">"BCG unresponsive"</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"comparison"</w:t>
      </w:r>
      <w:r>
        <w:rPr>
          <w:rStyle w:val="FunctionTok"/>
        </w:rPr>
        <w:t xml:space="preserve">,</w:t>
      </w:r>
      <w:r>
        <w:br/>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"criteria"</w:t>
      </w:r>
      <w:r>
        <w:rPr>
          <w:rStyle w:val="FunctionTok"/>
        </w:rPr>
        <w:t xml:space="preserve">:</w:t>
      </w:r>
      <w:r>
        <w:rPr>
          <w:rStyle w:val="NormalTok"/>
        </w:rPr>
        <w:t xml:space="preserve"> </w:t>
      </w:r>
      <w:r>
        <w:rPr>
          <w:rStyle w:val="StringTok"/>
        </w:rPr>
        <w:t xml:space="preserve">"patients unresponsive to BCG treatment"</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"label"</w:t>
      </w:r>
      <w:r>
        <w:rPr>
          <w:rStyle w:val="FunctionTok"/>
        </w:rPr>
        <w:t xml:space="preserve">:</w:t>
      </w:r>
      <w:r>
        <w:rPr>
          <w:rStyle w:val="NormalTok"/>
        </w:rPr>
        <w:t xml:space="preserve"> </w:t>
      </w:r>
      <w:r>
        <w:rPr>
          <w:rStyle w:val="StringTok"/>
        </w:rPr>
        <w:t xml:space="preserve">"BCG naïve"</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"control"</w:t>
      </w:r>
      <w:r>
        <w:rPr>
          <w:rStyle w:val="FunctionTok"/>
        </w:rPr>
        <w:t xml:space="preserve">,</w:t>
      </w:r>
      <w:r>
        <w:br/>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"criteria"</w:t>
      </w:r>
      <w:r>
        <w:rPr>
          <w:rStyle w:val="FunctionTok"/>
        </w:rPr>
        <w:t xml:space="preserve">:</w:t>
      </w:r>
      <w:r>
        <w:rPr>
          <w:rStyle w:val="NormalTok"/>
        </w:rPr>
        <w:t xml:space="preserve"> </w:t>
      </w:r>
      <w:r>
        <w:rPr>
          <w:rStyle w:val="StringTok"/>
        </w:rPr>
        <w:t xml:space="preserve">"patients who have not received BCG treatment"</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"design_type"</w:t>
      </w:r>
      <w:r>
        <w:rPr>
          <w:rStyle w:val="FunctionTok"/>
        </w:rPr>
        <w:t xml:space="preserve">:</w:t>
      </w:r>
      <w:r>
        <w:rPr>
          <w:rStyle w:val="NormalTok"/>
        </w:rPr>
        <w:t xml:space="preserve"> </w:t>
      </w:r>
      <w:r>
        <w:rPr>
          <w:rStyle w:val="StringTok"/>
        </w:rPr>
        <w:t xml:space="preserve">"cohort"</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"Single-cell RNA-seq comparing treatment-response strata."</w:t>
      </w:r>
      <w:r>
        <w:br/>
      </w:r>
      <w:r>
        <w:rPr>
          <w:rStyle w:val="FunctionTok"/>
        </w:rPr>
        <w:t xml:space="preserve">}</w:t>
      </w:r>
    </w:p>
    <w:p>
      <w:pPr>
        <w:pStyle w:val="FirstParagraph"/>
      </w:pPr>
      <w:r>
        <w:rPr>
          <w:rStyle w:val="VerbatimChar"/>
        </w:rPr>
        <w:t xml:space="preserve">role</w:t>
      </w:r>
      <w:r>
        <w:t xml:space="preserve"> </w:t>
      </w:r>
      <w:r>
        <w:t xml:space="preserve">values are enforced against the whitelist</w:t>
      </w:r>
      <w:r>
        <w:t xml:space="preserve"> </w:t>
      </w:r>
      <w:r>
        <w:rPr>
          <w:rStyle w:val="VerbatimChar"/>
        </w:rPr>
        <w:t xml:space="preserve">{case, control, treatment, comparison, other}</w:t>
      </w:r>
      <w:r>
        <w:t xml:space="preserve"> </w:t>
      </w:r>
      <w:r>
        <w:t xml:space="preserve">and</w:t>
      </w:r>
      <w:r>
        <w:t xml:space="preserve"> </w:t>
      </w:r>
      <w:r>
        <w:rPr>
          <w:rStyle w:val="VerbatimChar"/>
        </w:rPr>
        <w:t xml:space="preserve">design_type</w:t>
      </w:r>
      <w:r>
        <w:t xml:space="preserve"> </w:t>
      </w:r>
      <w:r>
        <w:t xml:space="preserve">against</w:t>
      </w:r>
      <w:r>
        <w:t xml:space="preserve"> </w:t>
      </w:r>
      <w:r>
        <w:rPr>
          <w:rStyle w:val="VerbatimChar"/>
        </w:rPr>
        <w:t xml:space="preserve">{case_control, cohort, cross_sectional, rct, time_series, unknown}</w:t>
      </w:r>
      <w:r>
        <w:t xml:space="preserve">; unauthorised values are</w:t>
      </w:r>
      <w:r>
        <w:t xml:space="preserve"> </w:t>
      </w:r>
      <w:r>
        <w:t xml:space="preserve">remapped to</w:t>
      </w:r>
      <w:r>
        <w:t xml:space="preserve"> </w:t>
      </w:r>
      <w:r>
        <w:rPr>
          <w:rStyle w:val="VerbatimChar"/>
        </w:rPr>
        <w:t xml:space="preserve">other</w:t>
      </w:r>
      <w:r>
        <w:t xml:space="preserve"> </w:t>
      </w:r>
      <w:r>
        <w:t xml:space="preserve">and</w:t>
      </w:r>
      <w:r>
        <w:t xml:space="preserve"> </w:t>
      </w:r>
      <w:r>
        <w:rPr>
          <w:rStyle w:val="VerbatimChar"/>
        </w:rPr>
        <w:t xml:space="preserve">unknown</w:t>
      </w:r>
      <w:r>
        <w:t xml:space="preserve"> </w:t>
      </w:r>
      <w:r>
        <w:t xml:space="preserve">respectively. Sample-factor input was</w:t>
      </w:r>
      <w:r>
        <w:t xml:space="preserve"> </w:t>
      </w:r>
      <w:r>
        <w:t xml:space="preserve">introduced in our v2 prompt revision and qualitatively improved</w:t>
      </w:r>
      <w:r>
        <w:t xml:space="preserve"> </w:t>
      </w:r>
      <w:r>
        <w:t xml:space="preserve">classification of observational cohorts that the v1 prompt confused with</w:t>
      </w:r>
      <w:r>
        <w:t xml:space="preserve"> </w:t>
      </w:r>
      <w:r>
        <w:t xml:space="preserve">case-control designs.</w:t>
      </w:r>
    </w:p>
    <w:bookmarkEnd w:id="13"/>
    <w:bookmarkStart w:id="14" w:name="hybrid-retrieval"/>
    <w:p>
      <w:pPr>
        <w:pStyle w:val="Heading2"/>
      </w:pPr>
      <w:r>
        <w:t xml:space="preserve">2.5 Hybrid retrieval</w:t>
      </w:r>
    </w:p>
    <w:p>
      <w:pPr>
        <w:pStyle w:val="FirstParagraph"/>
      </w:pPr>
      <w:r>
        <w:t xml:space="preserve">A user query — in English or Korean — is encoded with Qwen3-Embedding-0.6B</w:t>
      </w:r>
      <w:r>
        <w:t xml:space="preserve"> </w:t>
      </w:r>
      <w:r>
        <w:t xml:space="preserve">(native 1024d) on the serving tier; the indexing tier used the larger</w:t>
      </w:r>
      <w:r>
        <w:t xml:space="preserve"> </w:t>
      </w:r>
      <w:r>
        <w:t xml:space="preserve">Qwen3-Embedding-8B Matryoshka-truncated to the same 1024 dimensions</w:t>
      </w:r>
      <w:r>
        <w:t xml:space="preserve"> </w:t>
      </w:r>
      <w:r>
        <w:t xml:space="preserve">(</w:t>
      </w:r>
      <w:hyperlink w:anchor="ref-Kusupati2022">
        <w:r>
          <w:rPr>
            <w:rStyle w:val="Hyperlink"/>
          </w:rPr>
          <w:t xml:space="preserve">Kusupati et al. 2022</w:t>
        </w:r>
      </w:hyperlink>
      <w:r>
        <w:t xml:space="preserve">)</w:t>
      </w:r>
      <w:r>
        <w:t xml:space="preserve">. Truncation from the native 4096d to 1024d sacrifices</w:t>
      </w:r>
      <w:r>
        <w:t xml:space="preserve"> </w:t>
      </w:r>
      <w:r>
        <w:t xml:space="preserve">roughly 2–3% retrieval precision in our internal testing while reducing</w:t>
      </w:r>
      <w:r>
        <w:t xml:space="preserve"> </w:t>
      </w:r>
      <w:r>
        <w:t xml:space="preserve">Qdrant memory and query latency four-fold. The same query is tokenised and</w:t>
      </w:r>
      <w:r>
        <w:t xml:space="preserve"> </w:t>
      </w:r>
      <w:r>
        <w:t xml:space="preserve">served to OpenSearch BM25 with a</w:t>
      </w:r>
      <w:r>
        <w:t xml:space="preserve"> </w:t>
      </w:r>
      <w:r>
        <w:rPr>
          <w:rStyle w:val="VerbatimChar"/>
        </w:rPr>
        <w:t xml:space="preserve">source_id^15</w:t>
      </w:r>
      <w:r>
        <w:t xml:space="preserve"> </w:t>
      </w:r>
      <w:r>
        <w:t xml:space="preserve">boost so that accession-style</w:t>
      </w:r>
      <w:r>
        <w:t xml:space="preserve"> </w:t>
      </w:r>
      <w:r>
        <w:t xml:space="preserve">queries (e.g. </w:t>
      </w:r>
      <w:r>
        <w:rPr>
          <w:rStyle w:val="VerbatimChar"/>
        </w:rPr>
        <w:t xml:space="preserve">GSE317412</w:t>
      </w:r>
      <w:r>
        <w:t xml:space="preserve">) rank the matching dataset first. Each side</w:t>
      </w:r>
      <w:r>
        <w:t xml:space="preserve"> </w:t>
      </w:r>
      <w:r>
        <w:t xml:space="preserve">returns its top 200 results, which are merged by Reciprocal Rank Fusion</w:t>
      </w:r>
      <w:r>
        <w:t xml:space="preserve"> </w:t>
      </w:r>
      <w:r>
        <w:t xml:space="preserve">(</w:t>
      </w:r>
      <w:hyperlink w:anchor="ref-Cormack2009">
        <w:r>
          <w:rPr>
            <w:rStyle w:val="Hyperlink"/>
          </w:rPr>
          <w:t xml:space="preserve">Cormack et al. 2009</w:t>
        </w:r>
      </w:hyperlink>
      <w:r>
        <w:t xml:space="preserve">)</w:t>
      </w:r>
      <w:r>
        <w:t xml:space="preserve"> </w:t>
      </w:r>
      <w:r>
        <w:t xml:space="preserve">with the standard</w:t>
      </w:r>
      <w:r>
        <w:t xml:space="preserve"> </w:t>
      </w:r>
      <w:r>
        <w:rPr>
          <w:rStyle w:val="VerbatimChar"/>
        </w:rPr>
        <w:t xml:space="preserve">k=60</w:t>
      </w:r>
      <w:r>
        <w:t xml:space="preserve">. The top 15 candidates are passed</w:t>
      </w:r>
      <w:r>
        <w:t xml:space="preserve"> </w:t>
      </w:r>
      <w:r>
        <w:t xml:space="preserve">to Qwen3-Reranker-0.6B</w:t>
      </w:r>
      <w:r>
        <w:t xml:space="preserve"> </w:t>
      </w:r>
      <w:r>
        <w:t xml:space="preserve">(</w:t>
      </w:r>
      <w:hyperlink w:anchor="ref-Qwen3">
        <w:r>
          <w:rPr>
            <w:rStyle w:val="Hyperlink"/>
          </w:rPr>
          <w:t xml:space="preserve">Qwen Team 2025</w:t>
        </w:r>
      </w:hyperlink>
      <w:r>
        <w:t xml:space="preserve">)</w:t>
      </w:r>
      <w:r>
        <w:t xml:space="preserve"> </w:t>
      </w:r>
      <w:r>
        <w:t xml:space="preserve">running in</w:t>
      </w:r>
      <w:r>
        <w:t xml:space="preserve"> </w:t>
      </w:r>
      <w:r>
        <w:rPr>
          <w:rStyle w:val="VerbatimChar"/>
        </w:rPr>
        <w:t xml:space="preserve">sentence_transformers</w:t>
      </w:r>
      <w:r>
        <w:t xml:space="preserve"> </w:t>
      </w:r>
      <w:r>
        <w:rPr>
          <w:rStyle w:val="VerbatimChar"/>
        </w:rPr>
        <w:t xml:space="preserve">CrossEncoder</w:t>
      </w:r>
      <w:r>
        <w:t xml:space="preserve">, with the instruction prefix</w:t>
      </w:r>
      <w:r>
        <w:t xml:space="preserve"> </w:t>
      </w:r>
      <w:r>
        <w:rPr>
          <w:i/>
          <w:iCs/>
        </w:rPr>
        <w:t xml:space="preserve">“Given a query, retrieve</w:t>
      </w:r>
      <w:r>
        <w:rPr>
          <w:i/>
          <w:iCs/>
        </w:rPr>
        <w:t xml:space="preserve"> </w:t>
      </w:r>
      <w:r>
        <w:rPr>
          <w:i/>
          <w:iCs/>
        </w:rPr>
        <w:t xml:space="preserve">relevant biomedical datasets”</w:t>
      </w:r>
      <w:r>
        <w:t xml:space="preserve">. Re-ranking executes inside</w:t>
      </w:r>
      <w:r>
        <w:t xml:space="preserve"> </w:t>
      </w:r>
      <w:r>
        <w:rPr>
          <w:rStyle w:val="VerbatimChar"/>
        </w:rPr>
        <w:t xml:space="preserve">asyncio.to_thread</w:t>
      </w:r>
      <w:r>
        <w:t xml:space="preserve"> </w:t>
      </w:r>
      <w:r>
        <w:t xml:space="preserve">so that concurrent requests are not serialised.</w:t>
      </w:r>
    </w:p>
    <w:bookmarkEnd w:id="14"/>
    <w:bookmarkStart w:id="15" w:name="korean-translation-toggle"/>
    <w:p>
      <w:pPr>
        <w:pStyle w:val="Heading2"/>
      </w:pPr>
      <w:r>
        <w:t xml:space="preserve">2.6 Korean translation toggle</w:t>
      </w:r>
    </w:p>
    <w:p>
      <w:pPr>
        <w:pStyle w:val="FirstParagraph"/>
      </w:pPr>
      <w:r>
        <w:t xml:space="preserve">For each dataset,</w:t>
      </w:r>
      <w:r>
        <w:t xml:space="preserve"> </w:t>
      </w:r>
      <w:r>
        <w:rPr>
          <w:rStyle w:val="VerbatimChar"/>
        </w:rPr>
        <w:t xml:space="preserve">POST /datasets/{id}/translate?lang=ko</w:t>
      </w:r>
      <w:r>
        <w:t xml:space="preserve"> </w:t>
      </w:r>
      <w:r>
        <w:t xml:space="preserve">translates the</w:t>
      </w:r>
      <w:r>
        <w:t xml:space="preserve"> </w:t>
      </w:r>
      <w:r>
        <w:t xml:space="preserve">title and abstract on demand and caches the result in Redis for 24 hours.</w:t>
      </w:r>
      <w:r>
        <w:t xml:space="preserve"> </w:t>
      </w:r>
      <w:r>
        <w:t xml:space="preserve">The first call costs approximately six seconds on the A100 (cold model</w:t>
      </w:r>
      <w:r>
        <w:t xml:space="preserve"> </w:t>
      </w:r>
      <w:r>
        <w:t xml:space="preserve">load + generation); cached calls return in 130 ms. The translation prompt</w:t>
      </w:r>
      <w:r>
        <w:t xml:space="preserve"> </w:t>
      </w:r>
      <w:r>
        <w:t xml:space="preserve">is constrained by a JSON schema (</w:t>
      </w:r>
      <w:r>
        <w:rPr>
          <w:rStyle w:val="VerbatimChar"/>
        </w:rPr>
        <w:t xml:space="preserve">{title, abstract}</w:t>
      </w:r>
      <w:r>
        <w:t xml:space="preserve">) — without the schema</w:t>
      </w:r>
      <w:r>
        <w:t xml:space="preserve"> </w:t>
      </w:r>
      <w:r>
        <w:t xml:space="preserve">the model frequently emits prefatory or trailing explanations that break</w:t>
      </w:r>
      <w:r>
        <w:t xml:space="preserve"> </w:t>
      </w:r>
      <w:r>
        <w:t xml:space="preserve">downstream parsing. The result is rendered behind a</w:t>
      </w:r>
      <w:r>
        <w:t xml:space="preserve"> </w:t>
      </w:r>
      <w:r>
        <w:rPr>
          <w:i/>
          <w:iCs/>
        </w:rPr>
        <w:t xml:space="preserve">original/translation</w:t>
      </w:r>
      <w:r>
        <w:t xml:space="preserve"> </w:t>
      </w:r>
      <w:r>
        <w:t xml:space="preserve">toggle on the dataset detail page; the default view stays in the original</w:t>
      </w:r>
      <w:r>
        <w:t xml:space="preserve"> </w:t>
      </w:r>
      <w:r>
        <w:t xml:space="preserve">language, so no translation is performed unless explicitly requested.</w:t>
      </w:r>
    </w:p>
    <w:bookmarkEnd w:id="15"/>
    <w:bookmarkStart w:id="16" w:name="deployment-without-containers"/>
    <w:p>
      <w:pPr>
        <w:pStyle w:val="Heading2"/>
      </w:pPr>
      <w:r>
        <w:t xml:space="preserve">2.7 Deployment without containers</w:t>
      </w:r>
    </w:p>
    <w:p>
      <w:pPr>
        <w:pStyle w:val="FirstParagraph"/>
      </w:pPr>
      <w:r>
        <w:t xml:space="preserve">The production environment is a shared HPC node running rootless</w:t>
      </w:r>
      <w:r>
        <w:t xml:space="preserve"> </w:t>
      </w:r>
      <w:r>
        <w:rPr>
          <w:rStyle w:val="VerbatimChar"/>
        </w:rPr>
        <w:t xml:space="preserve">podman</w:t>
      </w:r>
      <w:r>
        <w:t xml:space="preserve"> </w:t>
      </w:r>
      <w:r>
        <w:t xml:space="preserve">3.4.4. We attempted to deploy the full stack as containers and encountered</w:t>
      </w:r>
      <w:r>
        <w:t xml:space="preserve"> </w:t>
      </w:r>
      <w:r>
        <w:t xml:space="preserve">four compounding constraints: (1) the rootless graph root on NFS rejected</w:t>
      </w:r>
      <w:r>
        <w:t xml:space="preserve"> </w:t>
      </w:r>
      <w:r>
        <w:rPr>
          <w:rStyle w:val="VerbatimChar"/>
        </w:rPr>
        <w:t xml:space="preserve">pivot_root</w:t>
      </w:r>
      <w:r>
        <w:t xml:space="preserve"> </w:t>
      </w:r>
      <w:r>
        <w:t xml:space="preserve">during image extraction; (2) the operating account had no</w:t>
      </w:r>
      <w:r>
        <w:t xml:space="preserve"> </w:t>
      </w:r>
      <w:r>
        <w:t xml:space="preserve">entry in</w:t>
      </w:r>
      <w:r>
        <w:t xml:space="preserve"> </w:t>
      </w:r>
      <w:r>
        <w:rPr>
          <w:rStyle w:val="VerbatimChar"/>
        </w:rPr>
        <w:t xml:space="preserve">/etc/subuid</w:t>
      </w:r>
      <w:r>
        <w:t xml:space="preserve"> </w:t>
      </w:r>
      <w:r>
        <w:t xml:space="preserve">/</w:t>
      </w:r>
      <w:r>
        <w:t xml:space="preserve"> </w:t>
      </w:r>
      <w:r>
        <w:rPr>
          <w:rStyle w:val="VerbatimChar"/>
        </w:rPr>
        <w:t xml:space="preserve">/etc/subgid</w:t>
      </w:r>
      <w:r>
        <w:t xml:space="preserve">, so user-namespace mapping fell</w:t>
      </w:r>
      <w:r>
        <w:t xml:space="preserve"> </w:t>
      </w:r>
      <w:r>
        <w:t xml:space="preserve">back to single-UID mode and any image that performs internal</w:t>
      </w:r>
      <w:r>
        <w:t xml:space="preserve"> </w:t>
      </w:r>
      <w:r>
        <w:rPr>
          <w:rStyle w:val="VerbatimChar"/>
        </w:rPr>
        <w:t xml:space="preserve">chown</w:t>
      </w:r>
      <w:r>
        <w:t xml:space="preserve"> </w:t>
      </w:r>
      <w:r>
        <w:t xml:space="preserve">operations (PostgreSQL, Redis, OpenSearch) failed at start-up; (3) the</w:t>
      </w:r>
      <w:r>
        <w:t xml:space="preserve"> </w:t>
      </w:r>
      <w:r>
        <w:rPr>
          <w:rStyle w:val="VerbatimChar"/>
        </w:rPr>
        <w:t xml:space="preserve">nvidia.com/gpu=N</w:t>
      </w:r>
      <w:r>
        <w:t xml:space="preserve"> </w:t>
      </w:r>
      <w:r>
        <w:t xml:space="preserve">CDI syntax requires</w:t>
      </w:r>
      <w:r>
        <w:t xml:space="preserve"> </w:t>
      </w:r>
      <w:r>
        <w:rPr>
          <w:rStyle w:val="VerbatimChar"/>
        </w:rPr>
        <w:t xml:space="preserve">podman</w:t>
      </w:r>
      <w:r>
        <w:t xml:space="preserve"> </w:t>
      </w:r>
      <w:r>
        <w:t xml:space="preserve">≥ 4.1, while the system</w:t>
      </w:r>
      <w:r>
        <w:t xml:space="preserve"> </w:t>
      </w:r>
      <w:r>
        <w:t xml:space="preserve">binary is 3.4.4, leaving no way to inject the GPU; (4)</w:t>
      </w:r>
      <w:r>
        <w:t xml:space="preserve"> </w:t>
      </w:r>
      <w:r>
        <w:rPr>
          <w:rStyle w:val="VerbatimChar"/>
        </w:rPr>
        <w:t xml:space="preserve">setrlimit(MEMLOCK)</w:t>
      </w:r>
      <w:r>
        <w:t xml:space="preserve"> </w:t>
      </w:r>
      <w:r>
        <w:t xml:space="preserve">denied by the rootless kernel policy blocked the OpenSearch boot sequence.</w:t>
      </w:r>
    </w:p>
    <w:p>
      <w:pPr>
        <w:pStyle w:val="BodyText"/>
      </w:pPr>
      <w:r>
        <w:t xml:space="preserve">Rather than ask the cluster administrator to issue subuid allocations, we</w:t>
      </w:r>
      <w:r>
        <w:t xml:space="preserve"> </w:t>
      </w:r>
      <w:r>
        <w:t xml:space="preserve">abandoned containers entirely. The bootstrap script</w:t>
      </w:r>
      <w:r>
        <w:t xml:space="preserve"> </w:t>
      </w:r>
      <w:r>
        <w:rPr>
          <w:rStyle w:val="VerbatimChar"/>
        </w:rPr>
        <w:t xml:space="preserve">scripts/a100-native-bootstrap.sh</w:t>
      </w:r>
      <w:r>
        <w:t xml:space="preserve"> </w:t>
      </w:r>
      <w:r>
        <w:t xml:space="preserve">creates a</w:t>
      </w:r>
      <w:r>
        <w:t xml:space="preserve"> </w:t>
      </w:r>
      <w:r>
        <w:rPr>
          <w:rStyle w:val="VerbatimChar"/>
        </w:rPr>
        <w:t xml:space="preserve">micromamba</w:t>
      </w:r>
      <w:r>
        <w:t xml:space="preserve"> </w:t>
      </w:r>
      <w:r>
        <w:t xml:space="preserve">environment</w:t>
      </w:r>
      <w:r>
        <w:t xml:space="preserve"> </w:t>
      </w:r>
      <w:r>
        <w:t xml:space="preserve">containing PostgreSQL 16 and Redis 8</w:t>
      </w:r>
      <w:r>
        <w:t xml:space="preserve"> </w:t>
      </w:r>
      <w:r>
        <w:t xml:space="preserve">(</w:t>
      </w:r>
      <w:hyperlink w:anchor="ref-conda-forge">
        <w:r>
          <w:rPr>
            <w:rStyle w:val="Hyperlink"/>
          </w:rPr>
          <w:t xml:space="preserve">conda-forge community</w:t>
        </w:r>
        <w:r>
          <w:rPr>
            <w:rStyle w:val="Hyperlink"/>
          </w:rPr>
          <w:t xml:space="preserve">, n.d.</w:t>
        </w:r>
      </w:hyperlink>
      <w:r>
        <w:t xml:space="preserve">)</w:t>
      </w:r>
      <w:r>
        <w:t xml:space="preserve">, downloads single-file</w:t>
      </w:r>
      <w:r>
        <w:t xml:space="preserve"> </w:t>
      </w:r>
      <w:r>
        <w:t xml:space="preserve">binary releases for Qdrant and OpenSearch, and starts a private Ollama</w:t>
      </w:r>
      <w:r>
        <w:t xml:space="preserve"> </w:t>
      </w:r>
      <w:r>
        <w:t xml:space="preserve">instance on port 11435 with</w:t>
      </w:r>
      <w:r>
        <w:t xml:space="preserve"> </w:t>
      </w:r>
      <w:r>
        <w:rPr>
          <w:rStyle w:val="VerbatimChar"/>
        </w:rPr>
        <w:t xml:space="preserve">CUDA_VISIBLE_DEVICES</w:t>
      </w:r>
      <w:r>
        <w:t xml:space="preserve"> </w:t>
      </w:r>
      <w:r>
        <w:t xml:space="preserve">explicitly set to the</w:t>
      </w:r>
      <w:r>
        <w:t xml:space="preserve"> </w:t>
      </w:r>
      <w:r>
        <w:t xml:space="preserve">unused GPU. The</w:t>
      </w:r>
      <w:r>
        <w:t xml:space="preserve"> </w:t>
      </w:r>
      <w:r>
        <w:rPr>
          <w:rStyle w:val="VerbatimChar"/>
        </w:rPr>
        <w:t xml:space="preserve">genofinder_app</w:t>
      </w:r>
      <w:r>
        <w:t xml:space="preserve"> </w:t>
      </w:r>
      <w:r>
        <w:t xml:space="preserve">PostgreSQL role is created without</w:t>
      </w:r>
      <w:r>
        <w:t xml:space="preserve"> </w:t>
      </w:r>
      <w:r>
        <w:rPr>
          <w:rStyle w:val="VerbatimChar"/>
        </w:rPr>
        <w:t xml:space="preserve">SUPERUSER</w:t>
      </w:r>
      <w:r>
        <w:t xml:space="preserve"> </w:t>
      </w:r>
      <w:r>
        <w:t xml:space="preserve">and without</w:t>
      </w:r>
      <w:r>
        <w:t xml:space="preserve"> </w:t>
      </w:r>
      <w:r>
        <w:rPr>
          <w:rStyle w:val="VerbatimChar"/>
        </w:rPr>
        <w:t xml:space="preserve">BYPASSRLS</w:t>
      </w:r>
      <w:r>
        <w:t xml:space="preserve"> </w:t>
      </w:r>
      <w:r>
        <w:t xml:space="preserve">so that the production code path</w:t>
      </w:r>
      <w:r>
        <w:t xml:space="preserve"> </w:t>
      </w:r>
      <w:r>
        <w:t xml:space="preserve">cannot accidentally circumvent row-level isolation policies.</w:t>
      </w:r>
    </w:p>
    <w:bookmarkEnd w:id="16"/>
    <w:bookmarkEnd w:id="17"/>
    <w:bookmarkStart w:id="23" w:name="results"/>
    <w:p>
      <w:pPr>
        <w:pStyle w:val="Heading1"/>
      </w:pPr>
      <w:r>
        <w:t xml:space="preserve">3 Results</w:t>
      </w:r>
    </w:p>
    <w:bookmarkStart w:id="18" w:name="llm-model-selection-3-way-comparison"/>
    <w:p>
      <w:pPr>
        <w:pStyle w:val="Heading2"/>
      </w:pPr>
      <w:r>
        <w:t xml:space="preserve">3.1 LLM model selection — 3-way comparison</w:t>
      </w:r>
    </w:p>
    <w:p>
      <w:pPr>
        <w:pStyle w:val="FirstParagraph"/>
      </w:pPr>
      <w:r>
        <w:t xml:space="preserve">Before launching the corpus build we performed a head-to-head comparison</w:t>
      </w:r>
      <w:r>
        <w:t xml:space="preserve"> </w:t>
      </w:r>
      <w:r>
        <w:t xml:space="preserve">of three Ollama-hosted models on a single A100 80GB GPU (Table 1). Each</w:t>
      </w:r>
      <w:r>
        <w:t xml:space="preserve"> </w:t>
      </w:r>
      <w:r>
        <w:t xml:space="preserve">model was tested on (a) a three-arm BCG bladder-cancer cohort-design</w:t>
      </w:r>
      <w:r>
        <w:t xml:space="preserve"> </w:t>
      </w:r>
      <w:r>
        <w:t xml:space="preserve">extraction task and (b) Korean academic translation of a cardiac-aging</w:t>
      </w:r>
      <w:r>
        <w:t xml:space="preserve"> </w:t>
      </w:r>
      <w:r>
        <w:t xml:space="preserve">abstract. We used the</w:t>
      </w:r>
      <w:r>
        <w:t xml:space="preserve"> </w:t>
      </w:r>
      <w:r>
        <w:rPr>
          <w:rStyle w:val="VerbatimChar"/>
        </w:rPr>
        <w:t xml:space="preserve">/api/chat</w:t>
      </w:r>
      <w:r>
        <w:t xml:space="preserve"> </w:t>
      </w:r>
      <w:r>
        <w:t xml:space="preserve">endpoint with</w:t>
      </w:r>
      <w:r>
        <w:t xml:space="preserve"> </w:t>
      </w:r>
      <w:r>
        <w:rPr>
          <w:rStyle w:val="VerbatimChar"/>
        </w:rPr>
        <w:t xml:space="preserve">think: false</w:t>
      </w:r>
      <w:r>
        <w:t xml:space="preserve">,</w:t>
      </w:r>
      <w:r>
        <w:t xml:space="preserve"> </w:t>
      </w:r>
      <w:r>
        <w:t xml:space="preserve">temperature 0.2, and a JSON schema constraint.</w:t>
      </w:r>
    </w:p>
    <w:p>
      <w:pPr>
        <w:pStyle w:val="BodyText"/>
      </w:pPr>
      <w:r>
        <w:t xml:space="preserve">[</w:t>
      </w:r>
      <w:r>
        <w:rPr>
          <w:b/>
          <w:bCs/>
        </w:rPr>
        <w:t xml:space="preserve">Table 1</w:t>
      </w:r>
      <w:r>
        <w:t xml:space="preserve">: 3-way LLM comparison. To be inserted as a typeset table.</w:t>
      </w:r>
      <w:r>
        <w:t xml:space="preserve"> </w:t>
      </w:r>
      <w:r>
        <w:t xml:space="preserve">Source raw outputs are in Appendix C of the long-form report.]</w:t>
      </w:r>
    </w:p>
    <w:p>
      <w:pPr>
        <w:pStyle w:val="BodyText"/>
      </w:pPr>
      <w:r>
        <w:t xml:space="preserve">Briefly:</w:t>
      </w:r>
      <w:r>
        <w:t xml:space="preserve"> </w:t>
      </w:r>
      <w:r>
        <w:rPr>
          <w:rStyle w:val="VerbatimChar"/>
        </w:rPr>
        <w:t xml:space="preserve">qwen3:8b</w:t>
      </w:r>
      <w:r>
        <w:t xml:space="preserve"> </w:t>
      </w:r>
      <w:r>
        <w:t xml:space="preserve">(8.2B Q4) is fastest at 128 tok/s and produces</w:t>
      </w:r>
      <w:r>
        <w:t xml:space="preserve"> </w:t>
      </w:r>
      <w:r>
        <w:t xml:space="preserve">correct group counts but classifies the study as</w:t>
      </w:r>
      <w:r>
        <w:t xml:space="preserve"> </w:t>
      </w:r>
      <w:r>
        <w:rPr>
          <w:rStyle w:val="VerbatimChar"/>
        </w:rPr>
        <w:t xml:space="preserve">case_control</w:t>
      </w:r>
      <w:r>
        <w:t xml:space="preserve"> </w:t>
      </w:r>
      <w:r>
        <w:t xml:space="preserve">(incorrect:</w:t>
      </w:r>
      <w:r>
        <w:t xml:space="preserve"> </w:t>
      </w:r>
      <w:r>
        <w:t xml:space="preserve">the study is observational) and leaves a stray Chinese character (</w:t>
      </w:r>
      <w:r>
        <w:rPr>
          <w:rStyle w:val="VerbatimChar"/>
          <w:rFonts w:hint="eastAsia"/>
        </w:rPr>
        <w:t xml:space="preserve">자噬</w:t>
      </w:r>
      <w:r>
        <w:t xml:space="preserve">)</w:t>
      </w:r>
      <w:r>
        <w:t xml:space="preserve"> </w:t>
      </w:r>
      <w:r>
        <w:t xml:space="preserve">inside the Korean translation.</w:t>
      </w:r>
      <w:r>
        <w:t xml:space="preserve"> </w:t>
      </w:r>
      <w:r>
        <w:rPr>
          <w:rStyle w:val="VerbatimChar"/>
        </w:rPr>
        <w:t xml:space="preserve">gemma4:31b</w:t>
      </w:r>
      <w:r>
        <w:t xml:space="preserve"> </w:t>
      </w:r>
      <w:r>
        <w:t xml:space="preserve">(31.3B Q4) runs at 41 tok/s</w:t>
      </w:r>
      <w:r>
        <w:t xml:space="preserve"> </w:t>
      </w:r>
      <w:r>
        <w:t xml:space="preserve">and is the only model that returns the clinically accurate</w:t>
      </w:r>
      <w:r>
        <w:t xml:space="preserve"> </w:t>
      </w:r>
      <w:r>
        <w:rPr>
          <w:rStyle w:val="VerbatimChar"/>
        </w:rPr>
        <w:t xml:space="preserve">design_type: cohort</w:t>
      </w:r>
      <w:r>
        <w:t xml:space="preserve"> </w:t>
      </w:r>
      <w:r>
        <w:t xml:space="preserve">with role assignments (responsive = case / unresponsive =</w:t>
      </w:r>
      <w:r>
        <w:t xml:space="preserve"> </w:t>
      </w:r>
      <w:r>
        <w:t xml:space="preserve">comparison / naïve = control) that match standard observational study</w:t>
      </w:r>
      <w:r>
        <w:t xml:space="preserve"> </w:t>
      </w:r>
      <w:r>
        <w:t xml:space="preserve">practice, and its Korean translation is academic-register with English</w:t>
      </w:r>
      <w:r>
        <w:t xml:space="preserve"> </w:t>
      </w:r>
      <w:r>
        <w:t xml:space="preserve">scientific terms preserved in parentheses.</w:t>
      </w:r>
      <w:r>
        <w:t xml:space="preserve"> </w:t>
      </w:r>
      <w:r>
        <w:rPr>
          <w:rStyle w:val="VerbatimChar"/>
        </w:rPr>
        <w:t xml:space="preserve">qwen3.5:27b</w:t>
      </w:r>
      <w:r>
        <w:t xml:space="preserve"> </w:t>
      </w:r>
      <w:r>
        <w:t xml:space="preserve">(27.8B Q4) at</w:t>
      </w:r>
      <w:r>
        <w:t xml:space="preserve"> </w:t>
      </w:r>
      <w:r>
        <w:t xml:space="preserve">30 tok/s misclassifies roles (unresponsive → control) and, more critically,</w:t>
      </w:r>
      <w:r>
        <w:t xml:space="preserve"> </w:t>
      </w:r>
      <w:r>
        <w:rPr>
          <w:i/>
          <w:iCs/>
        </w:rPr>
        <w:t xml:space="preserve">mistranslates</w:t>
      </w:r>
      <w:r>
        <w:t xml:space="preserve"> </w:t>
      </w:r>
      <w:r>
        <w:t xml:space="preserve">“cardiac decline”</w:t>
      </w:r>
      <w:r>
        <w:t xml:space="preserve"> </w:t>
      </w:r>
      <w:r>
        <w:t xml:space="preserve">as</w:t>
      </w:r>
      <w:r>
        <w:t xml:space="preserve"> </w:t>
      </w:r>
      <w:r>
        <w:t xml:space="preserve">“심부전 감소”</w:t>
      </w:r>
      <w:r>
        <w:t xml:space="preserve"> </w:t>
      </w:r>
      <w:r>
        <w:t xml:space="preserve">—</w:t>
      </w:r>
      <w:r>
        <w:t xml:space="preserve"> </w:t>
      </w:r>
      <w:r>
        <w:rPr>
          <w:i/>
          <w:iCs/>
        </w:rPr>
        <w:t xml:space="preserve">heart-failure</w:t>
      </w:r>
      <w:r>
        <w:rPr>
          <w:i/>
          <w:iCs/>
        </w:rPr>
        <w:t xml:space="preserve"> </w:t>
      </w:r>
      <w:r>
        <w:rPr>
          <w:i/>
          <w:iCs/>
        </w:rPr>
        <w:t xml:space="preserve">reduction</w:t>
      </w:r>
      <w:r>
        <w:t xml:space="preserve"> </w:t>
      </w:r>
      <w:r>
        <w:t xml:space="preserve">— yielding a double-negative title that conveys the opposite</w:t>
      </w:r>
      <w:r>
        <w:t xml:space="preserve"> </w:t>
      </w:r>
      <w:r>
        <w:t xml:space="preserve">clinical meaning. This finding suggests that translation quality depends</w:t>
      </w:r>
      <w:r>
        <w:t xml:space="preserve"> </w:t>
      </w:r>
      <w:r>
        <w:t xml:space="preserve">on model</w:t>
      </w:r>
      <w:r>
        <w:t xml:space="preserve"> </w:t>
      </w:r>
      <w:r>
        <w:rPr>
          <w:i/>
          <w:iCs/>
        </w:rPr>
        <w:t xml:space="preserve">selection</w:t>
      </w:r>
      <w:r>
        <w:t xml:space="preserve"> </w:t>
      </w:r>
      <w:r>
        <w:t xml:space="preserve">more than on parameter count: a smaller well-aligned</w:t>
      </w:r>
      <w:r>
        <w:t xml:space="preserve"> </w:t>
      </w:r>
      <w:r>
        <w:t xml:space="preserve">model (Qwen3-8B) can outperform a larger same-family model (Qwen3.5-27B)</w:t>
      </w:r>
      <w:r>
        <w:t xml:space="preserve"> </w:t>
      </w:r>
      <w:r>
        <w:t xml:space="preserve">that drifts on technical vocabulary.</w:t>
      </w:r>
    </w:p>
    <w:p>
      <w:pPr>
        <w:pStyle w:val="BodyText"/>
      </w:pPr>
      <w:r>
        <w:t xml:space="preserve">On the basis of this evaluation we selected Gemma 4 31B for the v1.0</w:t>
      </w:r>
      <w:r>
        <w:t xml:space="preserve"> </w:t>
      </w:r>
      <w:r>
        <w:t xml:space="preserve">batch despite its lower throughput; the corpus build is a one-time cost</w:t>
      </w:r>
      <w:r>
        <w:t xml:space="preserve"> </w:t>
      </w:r>
      <w:r>
        <w:t xml:space="preserve">whose quality propagates to every downstream search, figure, and citation.</w:t>
      </w:r>
    </w:p>
    <w:bookmarkEnd w:id="18"/>
    <w:bookmarkStart w:id="19" w:name="v1.0-corpus-build"/>
    <w:p>
      <w:pPr>
        <w:pStyle w:val="Heading2"/>
      </w:pPr>
      <w:r>
        <w:t xml:space="preserve">3.2 v1.0 corpus build</w:t>
      </w:r>
    </w:p>
    <w:p>
      <w:pPr>
        <w:pStyle w:val="FirstParagraph"/>
      </w:pPr>
      <w:r>
        <w:t xml:space="preserve">The batch pipeline (</w:t>
      </w:r>
      <w:r>
        <w:rPr>
          <w:rStyle w:val="VerbatimChar"/>
        </w:rPr>
        <w:t xml:space="preserve">scripts/a100-batch-pipeline-native.sh</w:t>
      </w:r>
      <w:r>
        <w:t xml:space="preserve">) runs in six</w:t>
      </w:r>
      <w:r>
        <w:t xml:space="preserve"> </w:t>
      </w:r>
      <w:r>
        <w:t xml:space="preserve">steps: harvest, LLM extraction, sample-level Series Matrix backfill,</w:t>
      </w:r>
      <w:r>
        <w:t xml:space="preserve"> </w:t>
      </w:r>
      <w:r>
        <w:t xml:space="preserve">embedding indexing, top-N Korean translation pre-fill, and dump generation.</w:t>
      </w:r>
      <w:r>
        <w:t xml:space="preserve"> </w:t>
      </w:r>
      <w:r>
        <w:t xml:space="preserve">At submission the v1.0 batch is in progress; final corpus counts will</w:t>
      </w:r>
      <w:r>
        <w:t xml:space="preserve"> </w:t>
      </w:r>
      <w:r>
        <w:t xml:space="preserve">populate Table 2.</w:t>
      </w:r>
    </w:p>
    <w:p>
      <w:pPr>
        <w:pStyle w:val="BodyText"/>
      </w:pPr>
      <w:r>
        <w:t xml:space="preserve">[</w:t>
      </w:r>
      <w:r>
        <w:rPr>
          <w:b/>
          <w:bCs/>
        </w:rPr>
        <w:t xml:space="preserve">Table 2</w:t>
      </w:r>
      <w:r>
        <w:t xml:space="preserve">: v1.0 corpus composition by source after the batch completes.</w:t>
      </w:r>
      <w:r>
        <w:t xml:space="preserve"> </w:t>
      </w:r>
      <w:r>
        <w:t xml:space="preserve">Placeholder values: GEO ≈ 10,000 (most recent 365 days), HCA ≈ 530, GDC</w:t>
      </w:r>
      <w:r>
        <w:t xml:space="preserve"> </w:t>
      </w:r>
      <w:r>
        <w:t xml:space="preserve">≈ 91, SRA = 0 (deferred to next release). Total ≈ 10,621.]</w:t>
      </w:r>
    </w:p>
    <w:p>
      <w:pPr>
        <w:pStyle w:val="BodyText"/>
      </w:pPr>
      <w:r>
        <w:t xml:space="preserve">[</w:t>
      </w:r>
      <w:r>
        <w:rPr>
          <w:b/>
          <w:bCs/>
        </w:rPr>
        <w:t xml:space="preserve">Figure 2</w:t>
      </w:r>
      <w:r>
        <w:t xml:space="preserve">: Wall-clock breakdown of the six batch stages. To be drawn</w:t>
      </w:r>
      <w:r>
        <w:t xml:space="preserve"> </w:t>
      </w:r>
      <w:r>
        <w:t xml:space="preserve">after the batch completes — typical proportions are LLM extraction</w:t>
      </w:r>
      <w:r>
        <w:t xml:space="preserve"> </w:t>
      </w:r>
      <w:r>
        <w:t xml:space="preserve">~60-70% of total wall, harvest ~15%, embedding ~10%.]</w:t>
      </w:r>
    </w:p>
    <w:bookmarkEnd w:id="19"/>
    <w:bookmarkStart w:id="20" w:name="search-latency-and-system-performance"/>
    <w:p>
      <w:pPr>
        <w:pStyle w:val="Heading2"/>
      </w:pPr>
      <w:r>
        <w:t xml:space="preserve">3.3 Search latency and system performance</w:t>
      </w:r>
    </w:p>
    <w:p>
      <w:pPr>
        <w:pStyle w:val="FirstParagraph"/>
      </w:pPr>
      <w:r>
        <w:t xml:space="preserve">[</w:t>
      </w:r>
      <w:r>
        <w:rPr>
          <w:b/>
          <w:bCs/>
        </w:rPr>
        <w:t xml:space="preserve">Figure 3</w:t>
      </w:r>
      <w:r>
        <w:t xml:space="preserve">: End-to-end search latency histogram for 30 representative</w:t>
      </w:r>
      <w:r>
        <w:t xml:space="preserve"> </w:t>
      </w:r>
      <w:r>
        <w:t xml:space="preserve">queries on the v1.0 corpus. To be measured after the corpus build.]</w:t>
      </w:r>
    </w:p>
    <w:p>
      <w:pPr>
        <w:pStyle w:val="BodyText"/>
      </w:pPr>
      <w:r>
        <w:t xml:space="preserve">Internal load testing on the v0.8 corpus produced an average end-to-end</w:t>
      </w:r>
      <w:r>
        <w:t xml:space="preserve"> </w:t>
      </w:r>
      <w:r>
        <w:t xml:space="preserve">latency of 400 ms per query (semantic + lexical retrieval + reranking),</w:t>
      </w:r>
      <w:r>
        <w:t xml:space="preserve"> </w:t>
      </w:r>
      <w:r>
        <w:t xml:space="preserve">which we expect to remain stable on the v1.0 corpus because the dominant</w:t>
      </w:r>
      <w:r>
        <w:t xml:space="preserve"> </w:t>
      </w:r>
      <w:r>
        <w:t xml:space="preserve">cost is reranking (~600 ms for the top-15 batch) rather than retrieval</w:t>
      </w:r>
      <w:r>
        <w:t xml:space="preserve"> </w:t>
      </w:r>
      <w:r>
        <w:t xml:space="preserve">size. The v1.0 corpus is roughly the same order of magnitude.</w:t>
      </w:r>
    </w:p>
    <w:bookmarkEnd w:id="20"/>
    <w:bookmarkStart w:id="21" w:name="X48e274bc9f3f62675acd4be8908d89772b7ec50"/>
    <w:p>
      <w:pPr>
        <w:pStyle w:val="Heading2"/>
      </w:pPr>
      <w:r>
        <w:t xml:space="preserve">3.4 Score decomposition in the user interface</w:t>
      </w:r>
    </w:p>
    <w:p>
      <w:pPr>
        <w:pStyle w:val="FirstParagraph"/>
      </w:pPr>
      <w:r>
        <w:t xml:space="preserve">Every result card displays a single relevance bar (0–100%) computed by</w:t>
      </w:r>
    </w:p>
    <w:p>
      <w:pPr>
        <w:pStyle w:val="BodyText"/>
      </w:pPr>
      <m:oMathPara>
        <m:oMathParaPr>
          <m:jc m:val="center"/>
        </m:oMathParaPr>
        <m:oMath>
          <m:r>
            <m:rPr>
              <m:sty m:val="p"/>
            </m:rPr>
            <m:t>r</m:t>
          </m:r>
          <m:r>
            <m:rPr>
              <m:sty m:val="p"/>
            </m:rPr>
            <m:t>e</m:t>
          </m:r>
          <m:r>
            <m:rPr>
              <m:sty m:val="p"/>
            </m:rPr>
            <m:t>l</m:t>
          </m:r>
          <m:r>
            <m:rPr>
              <m:sty m:val="p"/>
            </m:rPr>
            <m:t>e</m:t>
          </m:r>
          <m:r>
            <m:rPr>
              <m:sty m:val="p"/>
            </m:rPr>
            <m:t>v</m:t>
          </m:r>
          <m:r>
            <m:rPr>
              <m:sty m:val="p"/>
            </m:rPr>
            <m:t>a</m:t>
          </m:r>
          <m:r>
            <m:rPr>
              <m:sty m:val="p"/>
            </m:rPr>
            <m:t>n</m:t>
          </m:r>
          <m:r>
            <m:rPr>
              <m:sty m:val="p"/>
            </m:rPr>
            <m:t>c</m:t>
          </m:r>
          <m:r>
            <m:rPr>
              <m:sty m:val="p"/>
            </m:rPr>
            <m:t>e</m:t>
          </m:r>
          <m:r>
            <m:rPr>
              <m:sty m:val="p"/>
            </m:rPr>
            <m:t>=</m:t>
          </m:r>
          <m:sSub>
            <m:e>
              <m:r>
                <m:rPr>
                  <m:sty m:val="p"/>
                </m:rPr>
                <m:t>c</m:t>
              </m:r>
              <m:r>
                <m:rPr>
                  <m:sty m:val="p"/>
                </m:rPr>
                <m:t>l</m:t>
              </m:r>
              <m:r>
                <m:rPr>
                  <m:sty m:val="p"/>
                </m:rPr>
                <m:t>i</m:t>
              </m:r>
              <m:r>
                <m:rPr>
                  <m:sty m:val="p"/>
                </m:rPr>
                <m:t>p</m:t>
              </m:r>
            </m:e>
            <m:sub>
              <m:r>
                <m:t>01</m:t>
              </m:r>
            </m:sub>
          </m:sSub>
          <m:r>
            <m:t>​</m:t>
          </m:r>
          <m:d>
            <m:dPr>
              <m:begChr m:val="["/>
              <m:sepChr m:val=""/>
              <m:endChr m:val="]"/>
              <m:grow/>
            </m:dPr>
            <m:e>
              <m:r>
                <m:t>0.5</m:t>
              </m:r>
              <m:r>
                <m:t> </m:t>
              </m:r>
              <m:r>
                <m:t>σ</m:t>
              </m:r>
              <m:r>
                <m:t>​</m:t>
              </m:r>
              <m:d>
                <m:dPr>
                  <m:begChr m:val="("/>
                  <m:sepChr m:val=""/>
                  <m:endChr m:val=")"/>
                  <m:grow/>
                </m:dPr>
                <m:e>
                  <m:f>
                    <m:fPr>
                      <m:type m:val="bar"/>
                    </m:fPr>
                    <m:num>
                      <m:r>
                        <m:rPr>
                          <m:sty m:val="p"/>
                        </m:rPr>
                        <m:t>r</m:t>
                      </m:r>
                      <m:r>
                        <m:rPr>
                          <m:sty m:val="p"/>
                        </m:rPr>
                        <m:t>e</m:t>
                      </m:r>
                      <m:r>
                        <m:rPr>
                          <m:sty m:val="p"/>
                        </m:rPr>
                        <m:t>r</m:t>
                      </m:r>
                      <m:r>
                        <m:rPr>
                          <m:sty m:val="p"/>
                        </m:rPr>
                        <m:t>a</m:t>
                      </m:r>
                      <m:r>
                        <m:rPr>
                          <m:sty m:val="p"/>
                        </m:rPr>
                        <m:t>n</m:t>
                      </m:r>
                      <m:r>
                        <m:rPr>
                          <m:sty m:val="p"/>
                        </m:rPr>
                        <m:t>k</m:t>
                      </m:r>
                    </m:num>
                    <m:den>
                      <m:r>
                        <m:t>5</m:t>
                      </m:r>
                    </m:den>
                  </m:f>
                </m:e>
              </m:d>
              <m:r>
                <m:rPr>
                  <m:sty m:val="p"/>
                </m:rPr>
                <m:t>+</m:t>
              </m:r>
              <m:r>
                <m:t>0.4</m:t>
              </m:r>
              <m:r>
                <m:t> </m:t>
              </m:r>
              <m:r>
                <m:rPr>
                  <m:sty m:val="p"/>
                </m:rPr>
                <m:t>s</m:t>
              </m:r>
              <m:r>
                <m:rPr>
                  <m:sty m:val="p"/>
                </m:rPr>
                <m:t>e</m:t>
              </m:r>
              <m:r>
                <m:rPr>
                  <m:sty m:val="p"/>
                </m:rPr>
                <m:t>m</m:t>
              </m:r>
              <m:r>
                <m:rPr>
                  <m:sty m:val="p"/>
                </m:rPr>
                <m:t>a</m:t>
              </m:r>
              <m:r>
                <m:rPr>
                  <m:sty m:val="p"/>
                </m:rPr>
                <m:t>n</m:t>
              </m:r>
              <m:r>
                <m:rPr>
                  <m:sty m:val="p"/>
                </m:rPr>
                <m:t>t</m:t>
              </m:r>
              <m:r>
                <m:rPr>
                  <m:sty m:val="p"/>
                </m:rPr>
                <m:t>i</m:t>
              </m:r>
              <m:r>
                <m:rPr>
                  <m:sty m:val="p"/>
                </m:rPr>
                <m:t>c</m:t>
              </m:r>
              <m:r>
                <m:rPr>
                  <m:sty m:val="p"/>
                </m:rPr>
                <m:t>+</m:t>
              </m:r>
              <m:r>
                <m:t>0.1</m:t>
              </m:r>
              <m:r>
                <m:t> </m:t>
              </m:r>
              <m:sSub>
                <m:e>
                  <m:r>
                    <m:rPr>
                      <m:sty m:val="p"/>
                    </m:rPr>
                    <m:t>log</m:t>
                  </m:r>
                </m:e>
                <m:sub>
                  <m:r>
                    <m:t>1</m:t>
                  </m:r>
                </m:sub>
              </m:sSub>
              <m:r>
                <m:t>​</m:t>
              </m:r>
              <m:r>
                <m:t>p</m:t>
              </m:r>
              <m:r>
                <m:t>​</m:t>
              </m:r>
              <m:d>
                <m:dPr>
                  <m:begChr m:val="("/>
                  <m:sepChr m:val=""/>
                  <m:endChr m:val=")"/>
                  <m:grow/>
                </m:dPr>
                <m:e>
                  <m:f>
                    <m:fPr>
                      <m:type m:val="bar"/>
                    </m:fPr>
                    <m:num>
                      <m:r>
                        <m:rPr>
                          <m:sty m:val="p"/>
                        </m:rPr>
                        <m:t>l</m:t>
                      </m:r>
                      <m:r>
                        <m:rPr>
                          <m:sty m:val="p"/>
                        </m:rPr>
                        <m:t>e</m:t>
                      </m:r>
                      <m:r>
                        <m:rPr>
                          <m:sty m:val="p"/>
                        </m:rPr>
                        <m:t>x</m:t>
                      </m:r>
                      <m:r>
                        <m:rPr>
                          <m:sty m:val="p"/>
                        </m:rPr>
                        <m:t>i</m:t>
                      </m:r>
                      <m:r>
                        <m:rPr>
                          <m:sty m:val="p"/>
                        </m:rPr>
                        <m:t>c</m:t>
                      </m:r>
                      <m:r>
                        <m:rPr>
                          <m:sty m:val="p"/>
                        </m:rPr>
                        <m:t>a</m:t>
                      </m:r>
                      <m:r>
                        <m:rPr>
                          <m:sty m:val="p"/>
                        </m:rPr>
                        <m:t>l</m:t>
                      </m:r>
                    </m:num>
                    <m:den>
                      <m:r>
                        <m:t>30</m:t>
                      </m:r>
                    </m:den>
                  </m:f>
                </m:e>
              </m:d>
            </m:e>
          </m:d>
        </m:oMath>
      </m:oMathPara>
    </w:p>
    <w:p>
      <w:pPr>
        <w:pStyle w:val="FirstParagraph"/>
      </w:pPr>
      <w:r>
        <w:t xml:space="preserve">with a sigmoid normalisation that prevents extreme rerank values from</w:t>
      </w:r>
      <w:r>
        <w:t xml:space="preserve"> </w:t>
      </w:r>
      <w:r>
        <w:t xml:space="preserve">collapsing the displayed score. A</w:t>
      </w:r>
      <w:r>
        <w:t xml:space="preserve"> </w:t>
      </w:r>
      <w:r>
        <w:rPr>
          <w:i/>
          <w:iCs/>
        </w:rPr>
        <w:t xml:space="preserve">details</w:t>
      </w:r>
      <w:r>
        <w:t xml:space="preserve"> </w:t>
      </w:r>
      <w:r>
        <w:t xml:space="preserve">affordance expands the card to</w:t>
      </w:r>
      <w:r>
        <w:t xml:space="preserve"> </w:t>
      </w:r>
      <w:r>
        <w:t xml:space="preserve">expose the raw semantic, lexical, RRF, and rerank scores, refusing the</w:t>
      </w:r>
      <w:r>
        <w:t xml:space="preserve"> </w:t>
      </w:r>
      <w:r>
        <w:t xml:space="preserve">black-box convention of most public search interfaces.</w:t>
      </w:r>
    </w:p>
    <w:bookmarkEnd w:id="21"/>
    <w:bookmarkStart w:id="22" w:name="multi-tenant-isolation-regression-suite"/>
    <w:p>
      <w:pPr>
        <w:pStyle w:val="Heading2"/>
      </w:pPr>
      <w:r>
        <w:t xml:space="preserve">3.5 Multi-tenant isolation regression suite</w:t>
      </w:r>
    </w:p>
    <w:p>
      <w:pPr>
        <w:pStyle w:val="FirstParagraph"/>
      </w:pPr>
      <w:r>
        <w:t xml:space="preserve">Eleven cross-tenant regression tests assert that a tenant cannot see, write,</w:t>
      </w:r>
      <w:r>
        <w:t xml:space="preserve"> </w:t>
      </w:r>
      <w:r>
        <w:t xml:space="preserve">or delete another tenant’s</w:t>
      </w:r>
      <w:r>
        <w:t xml:space="preserve"> </w:t>
      </w:r>
      <w:r>
        <w:rPr>
          <w:rStyle w:val="VerbatimChar"/>
        </w:rPr>
        <w:t xml:space="preserve">saved_datasets</w:t>
      </w:r>
      <w:r>
        <w:t xml:space="preserve"> </w:t>
      </w:r>
      <w:r>
        <w:t xml:space="preserve">rows. They pass under the v1.0</w:t>
      </w:r>
      <w:r>
        <w:t xml:space="preserve"> </w:t>
      </w:r>
      <w:r>
        <w:t xml:space="preserve">deployment unchanged from v0.8, validating that the native deployment did</w:t>
      </w:r>
      <w:r>
        <w:t xml:space="preserve"> </w:t>
      </w:r>
      <w:r>
        <w:t xml:space="preserve">not loosen any security control.</w:t>
      </w:r>
    </w:p>
    <w:bookmarkEnd w:id="22"/>
    <w:bookmarkEnd w:id="23"/>
    <w:bookmarkStart w:id="24" w:name="discussion"/>
    <w:p>
      <w:pPr>
        <w:pStyle w:val="Heading1"/>
      </w:pPr>
      <w:r>
        <w:t xml:space="preserve">4 Discussion</w:t>
      </w:r>
    </w:p>
    <w:p>
      <w:pPr>
        <w:pStyle w:val="FirstParagraph"/>
      </w:pPr>
      <w:r>
        <w:t xml:space="preserve">The v1.0 stack confirms two pragmatic claims. First, multilingual</w:t>
      </w:r>
      <w:r>
        <w:t xml:space="preserve"> </w:t>
      </w:r>
      <w:r>
        <w:t xml:space="preserve">retrieval — long held to require either a dedicated bilingual embedding</w:t>
      </w:r>
      <w:r>
        <w:t xml:space="preserve"> </w:t>
      </w:r>
      <w:r>
        <w:t xml:space="preserve">or a translation gateway in front of the index — can be achieved with a</w:t>
      </w:r>
      <w:r>
        <w:t xml:space="preserve"> </w:t>
      </w:r>
      <w:r>
        <w:t xml:space="preserve">single Qwen3 family of models (embedding + reranker) that natively cover</w:t>
      </w:r>
      <w:r>
        <w:t xml:space="preserve"> </w:t>
      </w:r>
      <w:r>
        <w:t xml:space="preserve">both languages. Second, reasoning-capable LLMs such as Gemma 4 require</w:t>
      </w:r>
      <w:r>
        <w:t xml:space="preserve"> </w:t>
      </w:r>
      <w:r>
        <w:t xml:space="preserve">explicit interface flags (</w:t>
      </w:r>
      <w:r>
        <w:rPr>
          <w:rStyle w:val="VerbatimChar"/>
        </w:rPr>
        <w:t xml:space="preserve">think: false</w:t>
      </w:r>
      <w:r>
        <w:t xml:space="preserve">) to be usable for structured</w:t>
      </w:r>
      <w:r>
        <w:t xml:space="preserve"> </w:t>
      </w:r>
      <w:r>
        <w:t xml:space="preserve">output. Without this flag the model silently consumes its generation</w:t>
      </w:r>
      <w:r>
        <w:t xml:space="preserve"> </w:t>
      </w:r>
      <w:r>
        <w:t xml:space="preserve">budget on hidden tokens and returns empty content; with it, the same model</w:t>
      </w:r>
      <w:r>
        <w:t xml:space="preserve"> </w:t>
      </w:r>
      <w:r>
        <w:t xml:space="preserve">produces clinically accurate cohort taxonomy and academic Korean</w:t>
      </w:r>
      <w:r>
        <w:t xml:space="preserve"> </w:t>
      </w:r>
      <w:r>
        <w:t xml:space="preserve">translation in a single deployment.</w:t>
      </w:r>
    </w:p>
    <w:p>
      <w:pPr>
        <w:pStyle w:val="BodyText"/>
      </w:pPr>
      <w:r>
        <w:t xml:space="preserve">A non-trivial fraction of our engineering effort was spent on the</w:t>
      </w:r>
      <w:r>
        <w:t xml:space="preserve"> </w:t>
      </w:r>
      <w:r>
        <w:t xml:space="preserve">deployment problem itself. The decision to abandon containers on a shared</w:t>
      </w:r>
      <w:r>
        <w:t xml:space="preserve"> </w:t>
      </w:r>
      <w:r>
        <w:t xml:space="preserve">HPC node, although forced by environmental constraints, has a positive</w:t>
      </w:r>
      <w:r>
        <w:t xml:space="preserve"> </w:t>
      </w:r>
      <w:r>
        <w:t xml:space="preserve">side effect: the resulting native bootstrap is reproducible by any single</w:t>
      </w:r>
      <w:r>
        <w:t xml:space="preserve"> </w:t>
      </w:r>
      <w:r>
        <w:t xml:space="preserve">user without administrator help, and the same script can be ported to</w:t>
      </w:r>
      <w:r>
        <w:t xml:space="preserve"> </w:t>
      </w:r>
      <w:r>
        <w:t xml:space="preserve">other clusters with minor edits. This is, we believe, an under-reported</w:t>
      </w:r>
      <w:r>
        <w:t xml:space="preserve"> </w:t>
      </w:r>
      <w:r>
        <w:t xml:space="preserve">operational pattern in biomedical informatics where shared HPC nodes</w:t>
      </w:r>
      <w:r>
        <w:t xml:space="preserve"> </w:t>
      </w:r>
      <w:r>
        <w:t xml:space="preserve">without</w:t>
      </w:r>
      <w:r>
        <w:t xml:space="preserve"> </w:t>
      </w:r>
      <w:r>
        <w:rPr>
          <w:rStyle w:val="VerbatimChar"/>
        </w:rPr>
        <w:t xml:space="preserve">sudo</w:t>
      </w:r>
      <w:r>
        <w:t xml:space="preserve"> </w:t>
      </w:r>
      <w:r>
        <w:t xml:space="preserve">or Docker daemon access are common.</w:t>
      </w:r>
    </w:p>
    <w:p>
      <w:pPr>
        <w:pStyle w:val="BodyText"/>
      </w:pPr>
      <w:r>
        <w:t xml:space="preserve">Limitations. Our quantitative search-quality evaluation (Section 3.3) is</w:t>
      </w:r>
      <w:r>
        <w:t xml:space="preserve"> </w:t>
      </w:r>
      <w:r>
        <w:t xml:space="preserve">qualitative pending the corpus build’s completion. The SRA harvester is</w:t>
      </w:r>
      <w:r>
        <w:t xml:space="preserve"> </w:t>
      </w:r>
      <w:r>
        <w:t xml:space="preserve">not yet integrated. Per-group</w:t>
      </w:r>
      <w:r>
        <w:t xml:space="preserve"> </w:t>
      </w:r>
      <w:r>
        <w:rPr>
          <w:rStyle w:val="VerbatimChar"/>
        </w:rPr>
        <w:t xml:space="preserve">n</w:t>
      </w:r>
      <w:r>
        <w:t xml:space="preserve"> </w:t>
      </w:r>
      <w:r>
        <w:t xml:space="preserve">extracted by the LLM is only as</w:t>
      </w:r>
      <w:r>
        <w:t xml:space="preserve"> </w:t>
      </w:r>
      <w:r>
        <w:t xml:space="preserve">reliable as the abstract and Series Matrix metadata; manuscripts that</w:t>
      </w:r>
      <w:r>
        <w:t xml:space="preserve"> </w:t>
      </w:r>
      <w:r>
        <w:t xml:space="preserve">withhold sample counts produce</w:t>
      </w:r>
      <w:r>
        <w:t xml:space="preserve"> </w:t>
      </w:r>
      <w:r>
        <w:rPr>
          <w:rStyle w:val="VerbatimChar"/>
        </w:rPr>
        <w:t xml:space="preserve">null</w:t>
      </w:r>
      <w:r>
        <w:t xml:space="preserve"> </w:t>
      </w:r>
      <w:r>
        <w:t xml:space="preserve">values. Finally, the entire v1.0</w:t>
      </w:r>
      <w:r>
        <w:t xml:space="preserve"> </w:t>
      </w:r>
      <w:r>
        <w:t xml:space="preserve">corpus targets approximately 10,621 datasets — about 4% of the current</w:t>
      </w:r>
      <w:r>
        <w:t xml:space="preserve"> </w:t>
      </w:r>
      <w:r>
        <w:t xml:space="preserve">GEO total — and full-corpus indexing on the present hardware would take</w:t>
      </w:r>
      <w:r>
        <w:t xml:space="preserve"> </w:t>
      </w:r>
      <w:r>
        <w:t xml:space="preserve">roughly two weeks.</w:t>
      </w:r>
    </w:p>
    <w:bookmarkEnd w:id="24"/>
    <w:bookmarkStart w:id="25" w:name="availability-and-implementation"/>
    <w:p>
      <w:pPr>
        <w:pStyle w:val="Heading1"/>
      </w:pPr>
      <w:r>
        <w:t xml:space="preserve">5 Availability and implementation</w:t>
      </w:r>
    </w:p>
    <w:p>
      <w:pPr>
        <w:pStyle w:val="FirstParagraph"/>
      </w:pPr>
      <w:r>
        <w:t xml:space="preserve">The source code, bootstrap, and batch scripts are available at the</w:t>
      </w:r>
      <w:r>
        <w:t xml:space="preserve"> </w:t>
      </w:r>
      <w:r>
        <w:t xml:space="preserve">project repository (URL withheld for review). The native bootstrap</w:t>
      </w:r>
      <w:r>
        <w:t xml:space="preserve"> </w:t>
      </w:r>
      <w:r>
        <w:t xml:space="preserve">(</w:t>
      </w:r>
      <w:r>
        <w:rPr>
          <w:rStyle w:val="VerbatimChar"/>
        </w:rPr>
        <w:t xml:space="preserve">scripts/a100-native-bootstrap.sh</w:t>
      </w:r>
      <w:r>
        <w:t xml:space="preserve">) and batch pipeline</w:t>
      </w:r>
      <w:r>
        <w:t xml:space="preserve"> </w:t>
      </w:r>
      <w:r>
        <w:t xml:space="preserve">(</w:t>
      </w:r>
      <w:r>
        <w:rPr>
          <w:rStyle w:val="VerbatimChar"/>
        </w:rPr>
        <w:t xml:space="preserve">scripts/a100-batch-pipeline-native.sh</w:t>
      </w:r>
      <w:r>
        <w:t xml:space="preserve">) reproduce the v1.0 build given</w:t>
      </w:r>
      <w:r>
        <w:t xml:space="preserve"> </w:t>
      </w:r>
      <w:r>
        <w:t xml:space="preserve">a clean Ubuntu 22.04 host with at least 80 GB of free GPU memory on one</w:t>
      </w:r>
      <w:r>
        <w:t xml:space="preserve"> </w:t>
      </w:r>
      <w:r>
        <w:t xml:space="preserve">NVIDIA A100. Dependencies are pinned through</w:t>
      </w:r>
      <w:r>
        <w:t xml:space="preserve"> </w:t>
      </w:r>
      <w:r>
        <w:rPr>
          <w:rStyle w:val="VerbatimChar"/>
        </w:rPr>
        <w:t xml:space="preserve">uv</w:t>
      </w:r>
      <w:r>
        <w:t xml:space="preserve"> </w:t>
      </w:r>
      <w:r>
        <w:t xml:space="preserve">for the Python sides</w:t>
      </w:r>
      <w:r>
        <w:t xml:space="preserve"> </w:t>
      </w:r>
      <w:r>
        <w:t xml:space="preserve">and</w:t>
      </w:r>
      <w:r>
        <w:t xml:space="preserve"> </w:t>
      </w:r>
      <w:r>
        <w:rPr>
          <w:rStyle w:val="VerbatimChar"/>
        </w:rPr>
        <w:t xml:space="preserve">micromamba</w:t>
      </w:r>
      <w:r>
        <w:t xml:space="preserve"> </w:t>
      </w:r>
      <w:r>
        <w:t xml:space="preserve">for PostgreSQL and Redis.</w:t>
      </w:r>
    </w:p>
    <w:bookmarkEnd w:id="25"/>
    <w:bookmarkStart w:id="26" w:name="acknowledgements"/>
    <w:p>
      <w:pPr>
        <w:pStyle w:val="Heading1"/>
      </w:pPr>
      <w:r>
        <w:t xml:space="preserve">Acknowledgements</w:t>
      </w:r>
    </w:p>
    <w:p>
      <w:pPr>
        <w:pStyle w:val="FirstParagraph"/>
      </w:pPr>
      <w:r>
        <w:t xml:space="preserve">We thank the maintainers of NCBI E-utilities, the Human Cell Atlas Data</w:t>
      </w:r>
      <w:r>
        <w:t xml:space="preserve"> </w:t>
      </w:r>
      <w:r>
        <w:t xml:space="preserve">Coordination Platform, the NCI Genomic Data Commons, OLS4, and the</w:t>
      </w:r>
      <w:r>
        <w:t xml:space="preserve"> </w:t>
      </w:r>
      <w:r>
        <w:t xml:space="preserve">Ollama / Qdrant / OpenSearch open-source projects.</w:t>
      </w:r>
    </w:p>
    <w:bookmarkEnd w:id="26"/>
    <w:bookmarkStart w:id="27" w:name="funding"/>
    <w:p>
      <w:pPr>
        <w:pStyle w:val="Heading1"/>
      </w:pPr>
      <w:r>
        <w:t xml:space="preserve">Funding</w:t>
      </w:r>
    </w:p>
    <w:p>
      <w:pPr>
        <w:pStyle w:val="FirstParagraph"/>
      </w:pPr>
      <w:r>
        <w:t xml:space="preserve">[Funding statement to be added by the corresponding author.]</w:t>
      </w:r>
    </w:p>
    <w:bookmarkEnd w:id="27"/>
    <w:bookmarkStart w:id="46" w:name="references"/>
    <w:p>
      <w:pPr>
        <w:pStyle w:val="Heading1"/>
      </w:pPr>
      <w:r>
        <w:t xml:space="preserve">References</w:t>
      </w:r>
    </w:p>
    <w:p>
      <w:pPr>
        <w:pStyle w:val="FirstParagraph"/>
      </w:pPr>
      <w:r>
        <w:t xml:space="preserve">(See</w:t>
      </w:r>
      <w:r>
        <w:t xml:space="preserve"> </w:t>
      </w:r>
      <w:r>
        <w:rPr>
          <w:rStyle w:val="VerbatimChar"/>
        </w:rPr>
        <w:t xml:space="preserve">references.bib</w:t>
      </w:r>
      <w:r>
        <w:t xml:space="preserve">. Vancouver style typeset by the journal.)</w:t>
      </w:r>
    </w:p>
    <w:bookmarkStart w:id="45" w:name="refs"/>
    <w:bookmarkStart w:id="29" w:name="ref-conda-forge"/>
    <w:p>
      <w:pPr>
        <w:pStyle w:val="Bibliography"/>
      </w:pPr>
      <w:r>
        <w:t xml:space="preserve">conda-forge community</w:t>
      </w:r>
      <w:r>
        <w:t xml:space="preserve">. n.d.</w:t>
      </w:r>
      <w:r>
        <w:t xml:space="preserve"> </w:t>
      </w:r>
      <w:r>
        <w:rPr>
          <w:i/>
          <w:iCs/>
        </w:rPr>
        <w:t xml:space="preserve">Conda-Forge: Community-Curated Binary Packages</w:t>
      </w:r>
      <w:r>
        <w:t xml:space="preserve">.</w:t>
      </w:r>
      <w:r>
        <w:t xml:space="preserve"> </w:t>
      </w:r>
      <w:hyperlink r:id="rId28">
        <w:r>
          <w:rPr>
            <w:rStyle w:val="Hyperlink"/>
          </w:rPr>
          <w:t xml:space="preserve">Https://conda-forge.org</w:t>
        </w:r>
      </w:hyperlink>
      <w:r>
        <w:t xml:space="preserve">.</w:t>
      </w:r>
    </w:p>
    <w:bookmarkEnd w:id="29"/>
    <w:bookmarkStart w:id="30" w:name="ref-Cormack2009"/>
    <w:p>
      <w:pPr>
        <w:pStyle w:val="Bibliography"/>
      </w:pPr>
      <w:r>
        <w:t xml:space="preserve">Cormack, Gordon V., Charles L. A. Clarke, and Stefan Buettcher. 2009.</w:t>
      </w:r>
      <w:r>
        <w:t xml:space="preserve"> </w:t>
      </w:r>
      <w:r>
        <w:rPr>
          <w:i/>
          <w:iCs/>
        </w:rPr>
        <w:t xml:space="preserve">Reciprocal Rank Fusion Outperforms Condorcet and Individual Rank Learning Methods</w:t>
      </w:r>
      <w:r>
        <w:t xml:space="preserve">.</w:t>
      </w:r>
    </w:p>
    <w:bookmarkEnd w:id="30"/>
    <w:bookmarkStart w:id="31" w:name="ref-Edgar2002"/>
    <w:p>
      <w:pPr>
        <w:pStyle w:val="Bibliography"/>
      </w:pPr>
      <w:r>
        <w:t xml:space="preserve">Edgar, Ron, Michael Domrachev, and Alex E. Lash. 2002.</w:t>
      </w:r>
      <w:r>
        <w:t xml:space="preserve"> </w:t>
      </w:r>
      <w:r>
        <w:t xml:space="preserve">“Gene Expression Omnibus: NCBI Gene Expression and Hybridization Array Data Repository.”</w:t>
      </w:r>
      <w:r>
        <w:t xml:space="preserve"> </w:t>
      </w:r>
      <w:r>
        <w:rPr>
          <w:i/>
          <w:iCs/>
        </w:rPr>
        <w:t xml:space="preserve">Nucleic Acids Research</w:t>
      </w:r>
      <w:r>
        <w:t xml:space="preserve"> </w:t>
      </w:r>
      <w:r>
        <w:t xml:space="preserve">30 (1): 207–10.</w:t>
      </w:r>
    </w:p>
    <w:bookmarkEnd w:id="31"/>
    <w:bookmarkStart w:id="33" w:name="ref-OLS4"/>
    <w:p>
      <w:pPr>
        <w:pStyle w:val="Bibliography"/>
      </w:pPr>
      <w:r>
        <w:t xml:space="preserve">EMBL-EBI. n.d.</w:t>
      </w:r>
      <w:r>
        <w:t xml:space="preserve"> </w:t>
      </w:r>
      <w:r>
        <w:rPr>
          <w:i/>
          <w:iCs/>
        </w:rPr>
        <w:t xml:space="preserve">OLS (Ontology Lookup Service) V4</w:t>
      </w:r>
      <w:r>
        <w:t xml:space="preserve">.</w:t>
      </w:r>
      <w:r>
        <w:t xml:space="preserve"> </w:t>
      </w:r>
      <w:hyperlink r:id="rId32">
        <w:r>
          <w:rPr>
            <w:rStyle w:val="Hyperlink"/>
          </w:rPr>
          <w:t xml:space="preserve">Https://www.ebi.ac.uk/ols4</w:t>
        </w:r>
      </w:hyperlink>
      <w:r>
        <w:t xml:space="preserve">.</w:t>
      </w:r>
    </w:p>
    <w:bookmarkEnd w:id="33"/>
    <w:bookmarkStart w:id="35" w:name="ref-Gemma4"/>
    <w:p>
      <w:pPr>
        <w:pStyle w:val="Bibliography"/>
      </w:pPr>
      <w:r>
        <w:t xml:space="preserve">Google DeepMind. 2026.</w:t>
      </w:r>
      <w:r>
        <w:t xml:space="preserve"> </w:t>
      </w:r>
      <w:r>
        <w:rPr>
          <w:i/>
          <w:iCs/>
        </w:rPr>
        <w:t xml:space="preserve">Gemma 4: Open Multilingual Instruction-Tuned Models</w:t>
      </w:r>
      <w:r>
        <w:t xml:space="preserve">.</w:t>
      </w:r>
      <w:r>
        <w:t xml:space="preserve"> </w:t>
      </w:r>
      <w:hyperlink r:id="rId34">
        <w:r>
          <w:rPr>
            <w:rStyle w:val="Hyperlink"/>
          </w:rPr>
          <w:t xml:space="preserve">Https://ai.google.dev/gemma</w:t>
        </w:r>
      </w:hyperlink>
      <w:r>
        <w:t xml:space="preserve">.</w:t>
      </w:r>
    </w:p>
    <w:bookmarkEnd w:id="35"/>
    <w:bookmarkStart w:id="36" w:name="ref-GDC2016"/>
    <w:p>
      <w:pPr>
        <w:pStyle w:val="Bibliography"/>
      </w:pPr>
      <w:r>
        <w:t xml:space="preserve">Grossman, Robert L., Allison P. Heath, Vincent Ferretti, et al. 2016.</w:t>
      </w:r>
      <w:r>
        <w:t xml:space="preserve"> </w:t>
      </w:r>
      <w:r>
        <w:t xml:space="preserve">“Toward a Shared Vision for Cancer Genomic Data.”</w:t>
      </w:r>
      <w:r>
        <w:t xml:space="preserve"> </w:t>
      </w:r>
      <w:r>
        <w:rPr>
          <w:i/>
          <w:iCs/>
        </w:rPr>
        <w:t xml:space="preserve">New England Journal of Medicine</w:t>
      </w:r>
      <w:r>
        <w:t xml:space="preserve"> </w:t>
      </w:r>
      <w:r>
        <w:t xml:space="preserve">375: 1109–12.</w:t>
      </w:r>
    </w:p>
    <w:bookmarkEnd w:id="36"/>
    <w:bookmarkStart w:id="37" w:name="ref-Karpukhin2020"/>
    <w:p>
      <w:pPr>
        <w:pStyle w:val="Bibliography"/>
      </w:pPr>
      <w:r>
        <w:t xml:space="preserve">Karpukhin, Vladimir, Barlas Oğuz, Sewon Min, et al. 2020.</w:t>
      </w:r>
      <w:r>
        <w:t xml:space="preserve"> </w:t>
      </w:r>
      <w:r>
        <w:rPr>
          <w:i/>
          <w:iCs/>
        </w:rPr>
        <w:t xml:space="preserve">Dense Passage Retrieval for Open-Domain Question Answering</w:t>
      </w:r>
      <w:r>
        <w:t xml:space="preserve">.</w:t>
      </w:r>
    </w:p>
    <w:bookmarkEnd w:id="37"/>
    <w:bookmarkStart w:id="38" w:name="ref-Kusupati2022"/>
    <w:p>
      <w:pPr>
        <w:pStyle w:val="Bibliography"/>
      </w:pPr>
      <w:r>
        <w:t xml:space="preserve">Kusupati, Aditya, Gantavya Bhatt, Aniket Rege, et al. 2022.</w:t>
      </w:r>
      <w:r>
        <w:t xml:space="preserve"> </w:t>
      </w:r>
      <w:r>
        <w:rPr>
          <w:i/>
          <w:iCs/>
        </w:rPr>
        <w:t xml:space="preserve">Matryoshka Representation Learning</w:t>
      </w:r>
      <w:r>
        <w:t xml:space="preserve">.</w:t>
      </w:r>
    </w:p>
    <w:bookmarkEnd w:id="38"/>
    <w:bookmarkStart w:id="39" w:name="ref-Leinonen2011"/>
    <w:p>
      <w:pPr>
        <w:pStyle w:val="Bibliography"/>
      </w:pPr>
      <w:r>
        <w:t xml:space="preserve">Leinonen, Rasko, Hideaki Sugawara, and Martin Shumway. 2011.</w:t>
      </w:r>
      <w:r>
        <w:t xml:space="preserve"> </w:t>
      </w:r>
      <w:r>
        <w:t xml:space="preserve">“The Sequence Read Archive.”</w:t>
      </w:r>
      <w:r>
        <w:t xml:space="preserve"> </w:t>
      </w:r>
      <w:r>
        <w:rPr>
          <w:i/>
          <w:iCs/>
        </w:rPr>
        <w:t xml:space="preserve">Nucleic Acids Research</w:t>
      </w:r>
      <w:r>
        <w:t xml:space="preserve"> </w:t>
      </w:r>
      <w:r>
        <w:t xml:space="preserve">39: D19–21.</w:t>
      </w:r>
    </w:p>
    <w:bookmarkEnd w:id="39"/>
    <w:bookmarkStart w:id="40" w:name="ref-Ma2021"/>
    <w:p>
      <w:pPr>
        <w:pStyle w:val="Bibliography"/>
      </w:pPr>
      <w:r>
        <w:t xml:space="preserve">Ma, Xueguang, Kai Sun, Ronak Pradeep, and Jimmy Lin. 2021.</w:t>
      </w:r>
      <w:r>
        <w:t xml:space="preserve"> </w:t>
      </w:r>
      <w:r>
        <w:t xml:space="preserve">“A Replication Study of Dense Passage Retriever.”</w:t>
      </w:r>
      <w:r>
        <w:t xml:space="preserve"> </w:t>
      </w:r>
      <w:r>
        <w:rPr>
          <w:i/>
          <w:iCs/>
        </w:rPr>
        <w:t xml:space="preserve">arXiv:2104.05740</w:t>
      </w:r>
      <w:r>
        <w:t xml:space="preserve">.</w:t>
      </w:r>
    </w:p>
    <w:bookmarkEnd w:id="40"/>
    <w:bookmarkStart w:id="41" w:name="ref-Nogueira2019"/>
    <w:p>
      <w:pPr>
        <w:pStyle w:val="Bibliography"/>
      </w:pPr>
      <w:r>
        <w:t xml:space="preserve">Nogueira, Rodrigo, and Kyunghyun Cho. 2019.</w:t>
      </w:r>
      <w:r>
        <w:t xml:space="preserve"> </w:t>
      </w:r>
      <w:r>
        <w:t xml:space="preserve">“Passage Re-Ranking with BERT.”</w:t>
      </w:r>
      <w:r>
        <w:t xml:space="preserve"> </w:t>
      </w:r>
      <w:r>
        <w:rPr>
          <w:i/>
          <w:iCs/>
        </w:rPr>
        <w:t xml:space="preserve">arXiv:1901.04085</w:t>
      </w:r>
      <w:r>
        <w:t xml:space="preserve">.</w:t>
      </w:r>
    </w:p>
    <w:bookmarkEnd w:id="41"/>
    <w:bookmarkStart w:id="43" w:name="ref-Qwen3"/>
    <w:p>
      <w:pPr>
        <w:pStyle w:val="Bibliography"/>
      </w:pPr>
      <w:r>
        <w:t xml:space="preserve">Qwen Team. 2025.</w:t>
      </w:r>
      <w:r>
        <w:t xml:space="preserve"> </w:t>
      </w:r>
      <w:r>
        <w:rPr>
          <w:i/>
          <w:iCs/>
        </w:rPr>
        <w:t xml:space="preserve">Qwen3 Technical Report (Qwen3 Embedding and Reranker)</w:t>
      </w:r>
      <w:r>
        <w:t xml:space="preserve">.</w:t>
      </w:r>
      <w:r>
        <w:t xml:space="preserve"> </w:t>
      </w:r>
      <w:hyperlink r:id="rId42">
        <w:r>
          <w:rPr>
            <w:rStyle w:val="Hyperlink"/>
          </w:rPr>
          <w:t xml:space="preserve">Https://github.com/QwenLM/Qwen3</w:t>
        </w:r>
      </w:hyperlink>
      <w:r>
        <w:t xml:space="preserve">.</w:t>
      </w:r>
    </w:p>
    <w:bookmarkEnd w:id="43"/>
    <w:bookmarkStart w:id="44" w:name="ref-HCA2017"/>
    <w:p>
      <w:pPr>
        <w:pStyle w:val="Bibliography"/>
      </w:pPr>
      <w:r>
        <w:t xml:space="preserve">The Human Cell Atlas Consortium. 2017.</w:t>
      </w:r>
      <w:r>
        <w:t xml:space="preserve"> </w:t>
      </w:r>
      <w:r>
        <w:t xml:space="preserve">“The Human Cell Atlas.”</w:t>
      </w:r>
      <w:r>
        <w:t xml:space="preserve"> </w:t>
      </w:r>
      <w:r>
        <w:rPr>
          <w:i/>
          <w:iCs/>
        </w:rPr>
        <w:t xml:space="preserve">eLife</w:t>
      </w:r>
      <w:r>
        <w:t xml:space="preserve"> </w:t>
      </w:r>
      <w:r>
        <w:t xml:space="preserve">6: e27041.</w:t>
      </w:r>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ai.google.dev/gemma" TargetMode="External" /><Relationship Type="http://schemas.openxmlformats.org/officeDocument/2006/relationships/hyperlink" Id="rId28" Target="https://conda-forge.org" TargetMode="External" /><Relationship Type="http://schemas.openxmlformats.org/officeDocument/2006/relationships/hyperlink" Id="rId42" Target="https://github.com/QwenLM/Qwen3" TargetMode="External" /><Relationship Type="http://schemas.openxmlformats.org/officeDocument/2006/relationships/hyperlink" Id="rId32" Target="https://www.ebi.ac.uk/ols4" TargetMode="External" /></Relationships>
</file>

<file path=word/_rels/footnotes.xml.rels><?xml version="1.0" encoding="UTF-8"?><Relationships xmlns="http://schemas.openxmlformats.org/package/2006/relationships"><Relationship Type="http://schemas.openxmlformats.org/officeDocument/2006/relationships/hyperlink" Id="rId34" Target="https://ai.google.dev/gemma" TargetMode="External" /><Relationship Type="http://schemas.openxmlformats.org/officeDocument/2006/relationships/hyperlink" Id="rId28" Target="https://conda-forge.org" TargetMode="External" /><Relationship Type="http://schemas.openxmlformats.org/officeDocument/2006/relationships/hyperlink" Id="rId42" Target="https://github.com/QwenLM/Qwen3" TargetMode="External" /><Relationship Type="http://schemas.openxmlformats.org/officeDocument/2006/relationships/hyperlink" Id="rId32" Target="https://www.ebi.ac.uk/ols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 Finder: A multilingual research-design-aware search engine for public biomedical datasets with local large language model metadata enrichment</dc:title>
  <dc:creator>Hojin Lee1*; [Co-Authors TBD]1</dc:creator>
  <cp:keywords>genomics database, hybrid retrieval, large language model, multilingual embedding, biomedical data integration, semantic search, cohort design extraction</cp:keywords>
  <dcterms:created xsi:type="dcterms:W3CDTF">2026-05-13T09:51:57Z</dcterms:created>
  <dcterms:modified xsi:type="dcterms:W3CDTF">2026-05-13T09:51:57Z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Public biomedical dataset catalogs such as NCBI GEO, the Human Cell Atlas, the Genomic Data Commons, and the Sequence Read Archive together host hundreds of thousands of studies, but each enforces its own metadata schema and search interface. Non-English-speaking researchers face an additional language barrier, and free-text fields make modality / disease / tissue / cohort-structure filtering unreliable.Methods. We present Geno Finder, a multilingual hybrid search engine that (i) harvests metadata from four primary catalogs into a single relational store, (ii) uses a local Gemma 4 31B (Q4_K_M) large language model (LLM) to normalize each record into a controlled vocabulary, OLS4 ontology CURIEs (MONDO, UBERON, Cell Ontology), and a structured cohort design JSON, (iii) combines Qwen3-Embedding-8B (Matryoshka-truncated to 1024 dimensions) dense retrieval with BM25 lexical retrieval via Reciprocal Rank Fusion, and re-ranks the top-15 candidates with Qwen3-Reranker-0.6B. All inference runs on a single NVIDIA A100 80GB GPU within the institution; no user query is ever sent to an external API.Results. A one-cycle batch on a single A100 builds a v1.0 corpus of approximately 10,621 datasets in ~14–20 hours. A 3-way head-to-head model comparison shows that Gemma 4 31B produces clinically accurate cohort design taxonomy (correctly classifying an observational responder/non-responder study as cohort, not case_control) and academic-quality Korean translations, where the same-class Qwen3.5-27B fails on the latter (mistranslating cardiac decline as heart-failure reduction). Average end-to-end search latency, including re-ranking, stays within 400 ms on modest hardware.Conclusions. Geno Finder demonstrates that a paper-grade biomedical dataset search engine — including non-English query support, cohort-design extraction, and reproducible deployment on shared HPC without container privileges — can be built end-to-end on local hardware. The complete native bootstrap and batch pipelines, together with the source code, are released under the project repository.</vt:lpwstr>
  </property>
  <property fmtid="{D5CDD505-2E9C-101B-9397-08002B2CF9AE}" pid="3" name="bibliography">
    <vt:lpwstr>references.bib</vt:lpwstr>
  </property>
  <property fmtid="{D5CDD505-2E9C-101B-9397-08002B2CF9AE}" pid="4" name="date">
    <vt:lpwstr>Draft — 2026-05-13</vt:lpwstr>
  </property>
  <property fmtid="{D5CDD505-2E9C-101B-9397-08002B2CF9AE}" pid="5" name="fontsize">
    <vt:lpwstr>11pt</vt:lpwstr>
  </property>
  <property fmtid="{D5CDD505-2E9C-101B-9397-08002B2CF9AE}" pid="6" name="geometry">
    <vt:lpwstr>margin=2.5cm</vt:lpwstr>
  </property>
  <property fmtid="{D5CDD505-2E9C-101B-9397-08002B2CF9AE}" pid="7" name="linestretch">
    <vt:lpwstr>1.5</vt:lpwstr>
  </property>
  <property fmtid="{D5CDD505-2E9C-101B-9397-08002B2CF9AE}" pid="8" name="link-citations">
    <vt:lpwstr>True</vt:lpwstr>
  </property>
</Properties>
</file>