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283"/>
        <w:jc w:val="center"/>
      </w:pPr>
      <w:r>
        <w:rPr>
          <w:rFonts w:ascii="標楷體" w:hAnsi="標楷體"/>
          <w:b w:val="0"/>
          <w:sz w:val="44"/>
        </w:rPr>
        <w:t>FN_EXAM 升國中數理資優班考題系統</w:t>
      </w:r>
    </w:p>
    <w:p>
      <w:pPr>
        <w:spacing w:after="283"/>
        <w:jc w:val="center"/>
      </w:pPr>
      <w:r>
        <w:rPr>
          <w:rFonts w:ascii="標楷體" w:hAnsi="標楷體"/>
          <w:b/>
          <w:sz w:val="56"/>
        </w:rPr>
        <w:t>系統分析規格書</w:t>
      </w:r>
    </w:p>
    <w:p>
      <w:pPr>
        <w:spacing w:after="1134"/>
        <w:jc w:val="center"/>
      </w:pPr>
      <w:r>
        <w:rPr>
          <w:rFonts w:ascii="標楷體" w:hAnsi="標楷體"/>
          <w:b w:val="0"/>
          <w:sz w:val="32"/>
        </w:rPr>
        <w:t>System Requirements Specification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113"/>
        <w:jc w:val="center"/>
      </w:pPr>
      <w:r>
        <w:rPr>
          <w:rFonts w:ascii="標楷體" w:hAnsi="標楷體"/>
          <w:b w:val="0"/>
          <w:sz w:val="28"/>
        </w:rPr>
        <w:t>文件代碼：FN-EXAM-SRS</w:t>
      </w:r>
    </w:p>
    <w:p>
      <w:pPr>
        <w:spacing w:after="113"/>
        <w:jc w:val="center"/>
      </w:pPr>
      <w:r>
        <w:rPr>
          <w:rFonts w:ascii="標楷體" w:hAnsi="標楷體"/>
          <w:b w:val="0"/>
          <w:sz w:val="28"/>
        </w:rPr>
        <w:t>版    次：3.1</w:t>
      </w:r>
    </w:p>
    <w:p>
      <w:pPr>
        <w:spacing w:after="113"/>
        <w:jc w:val="center"/>
      </w:pPr>
      <w:r>
        <w:rPr>
          <w:rFonts w:ascii="標楷體" w:hAnsi="標楷體"/>
          <w:b w:val="0"/>
          <w:sz w:val="28"/>
        </w:rPr>
        <w:t>文件狀態：Baseline</w:t>
      </w:r>
    </w:p>
    <w:p>
      <w:pPr>
        <w:spacing w:after="113"/>
        <w:jc w:val="center"/>
      </w:pPr>
      <w:r>
        <w:rPr>
          <w:rFonts w:ascii="標楷體" w:hAnsi="標楷體"/>
          <w:b w:val="0"/>
          <w:sz w:val="28"/>
        </w:rPr>
        <w:t>生效日期：2026-03-23</w:t>
      </w:r>
    </w:p>
    <w:p>
      <w:pPr>
        <w:spacing w:after="113"/>
        <w:jc w:val="center"/>
      </w:pPr>
      <w:r>
        <w:rPr>
          <w:rFonts w:ascii="標楷體" w:hAnsi="標楷體"/>
          <w:b w:val="0"/>
          <w:sz w:val="28"/>
        </w:rPr>
        <w:t>文件擁有者：系統分析師（SA）</w:t>
      </w:r>
    </w:p>
    <w:p>
      <w:pPr>
        <w:spacing w:after="1134"/>
        <w:jc w:val="center"/>
      </w:pPr>
      <w:r>
        <w:rPr>
          <w:rFonts w:ascii="標楷體" w:hAnsi="標楷體"/>
          <w:b w:val="0"/>
          <w:sz w:val="28"/>
        </w:rPr>
        <w:t>核  准  者：專案經理（PM）、產品負責人（PO）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170"/>
        <w:jc w:val="center"/>
      </w:pPr>
      <w:r>
        <w:rPr>
          <w:rFonts w:ascii="標楷體" w:hAnsi="標楷體"/>
          <w:b w:val="0"/>
          <w:sz w:val="40"/>
        </w:rPr>
        <w:t>中華民國 115 年 03 月</w:t>
      </w:r>
    </w:p>
    <w:p>
      <w:pPr>
        <w:spacing w:after="0"/>
        <w:jc w:val="center"/>
      </w:pPr>
      <w:r>
        <w:rPr>
          <w:rFonts w:ascii="標楷體" w:hAnsi="標楷體"/>
          <w:b w:val="0"/>
          <w:sz w:val="24"/>
        </w:rPr>
        <w:t>本文件依 CMMI-DEV v2.0 Level 3 定義化流程精神撰寫</w:t>
      </w:r>
    </w:p>
    <w:p>
      <w:r>
        <w:br w:type="page"/>
      </w:r>
    </w:p>
    <w:p>
      <w:pPr>
        <w:pStyle w:val="Heading1"/>
      </w:pPr>
      <w:r>
        <w:rPr>
          <w:rFonts w:ascii="標楷體" w:hAnsi="標楷體"/>
          <w:sz w:val="28"/>
        </w:rPr>
        <w:t>1. 文件控制</w:t>
      </w:r>
    </w:p>
    <w:p>
      <w:pPr>
        <w:pStyle w:val="Heading2"/>
      </w:pPr>
      <w:r>
        <w:rPr>
          <w:rFonts w:ascii="標楷體" w:hAnsi="標楷體"/>
          <w:sz w:val="28"/>
        </w:rPr>
        <w:t>1.1 文件資訊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欄位</w:t>
            </w:r>
          </w:p>
        </w:tc>
        <w:tc>
          <w:tcPr>
            <w:tcW w:type="dxa" w:w="6236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內容</w:t>
            </w:r>
          </w:p>
        </w:tc>
      </w:tr>
      <w:tr>
        <w:tc>
          <w:tcPr>
            <w:tcW w:type="dxa" w:w="226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文件名稱</w:t>
            </w:r>
          </w:p>
        </w:tc>
        <w:tc>
          <w:tcPr>
            <w:tcW w:type="dxa" w:w="623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系統分析規格書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文件代碼</w:t>
            </w:r>
          </w:p>
        </w:tc>
        <w:tc>
          <w:tcPr>
            <w:tcW w:type="dxa" w:w="6236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FN-EXAM-SRS</w:t>
            </w:r>
          </w:p>
        </w:tc>
      </w:tr>
      <w:tr>
        <w:tc>
          <w:tcPr>
            <w:tcW w:type="dxa" w:w="226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版次</w:t>
            </w:r>
          </w:p>
        </w:tc>
        <w:tc>
          <w:tcPr>
            <w:tcW w:type="dxa" w:w="623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3.1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文件狀態</w:t>
            </w:r>
          </w:p>
        </w:tc>
        <w:tc>
          <w:tcPr>
            <w:tcW w:type="dxa" w:w="6236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Baseline</w:t>
            </w:r>
          </w:p>
        </w:tc>
      </w:tr>
      <w:tr>
        <w:tc>
          <w:tcPr>
            <w:tcW w:type="dxa" w:w="226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生效日期</w:t>
            </w:r>
          </w:p>
        </w:tc>
        <w:tc>
          <w:tcPr>
            <w:tcW w:type="dxa" w:w="623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2026-03-23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適用專案</w:t>
            </w:r>
          </w:p>
        </w:tc>
        <w:tc>
          <w:tcPr>
            <w:tcW w:type="dxa" w:w="6236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FN_EXAM（升國中數理資優班考題系統）</w:t>
            </w:r>
          </w:p>
        </w:tc>
      </w:tr>
      <w:tr>
        <w:tc>
          <w:tcPr>
            <w:tcW w:type="dxa" w:w="226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文件擁有者</w:t>
            </w:r>
          </w:p>
        </w:tc>
        <w:tc>
          <w:tcPr>
            <w:tcW w:type="dxa" w:w="623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系統分析師（SA）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核准者</w:t>
            </w:r>
          </w:p>
        </w:tc>
        <w:tc>
          <w:tcPr>
            <w:tcW w:type="dxa" w:w="6236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專案經理（PM）、產品負責人（PO）</w:t>
            </w:r>
          </w:p>
        </w:tc>
      </w:tr>
    </w:tbl>
    <w:p/>
    <w:p>
      <w:pPr>
        <w:pStyle w:val="Heading2"/>
      </w:pPr>
      <w:r>
        <w:rPr>
          <w:rFonts w:ascii="標楷體" w:hAnsi="標楷體"/>
          <w:sz w:val="28"/>
        </w:rPr>
        <w:t>1.2 版本履歷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版本</w:t>
            </w:r>
          </w:p>
        </w:tc>
        <w:tc>
          <w:tcPr>
            <w:tcW w:type="dxa" w:w="1701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日期</w:t>
            </w:r>
          </w:p>
        </w:tc>
        <w:tc>
          <w:tcPr>
            <w:tcW w:type="dxa" w:w="1701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編輯者</w:t>
            </w:r>
          </w:p>
        </w:tc>
        <w:tc>
          <w:tcPr>
            <w:tcW w:type="dxa" w:w="4535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主要變更</w:t>
            </w:r>
          </w:p>
        </w:tc>
      </w:tr>
      <w:tr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1.0</w:t>
            </w:r>
          </w:p>
        </w:tc>
        <w:tc>
          <w:tcPr>
            <w:tcW w:type="dxa" w:w="1701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2026-03-14</w:t>
            </w:r>
          </w:p>
        </w:tc>
        <w:tc>
          <w:tcPr>
            <w:tcW w:type="dxa" w:w="1701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SA</w:t>
            </w:r>
          </w:p>
        </w:tc>
        <w:tc>
          <w:tcPr>
            <w:tcW w:type="dxa" w:w="4535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初版</w:t>
            </w:r>
          </w:p>
        </w:tc>
      </w:tr>
      <w:tr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2.0</w:t>
            </w:r>
          </w:p>
        </w:tc>
        <w:tc>
          <w:tcPr>
            <w:tcW w:type="dxa" w:w="1701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2026-03-20</w:t>
            </w:r>
          </w:p>
        </w:tc>
        <w:tc>
          <w:tcPr>
            <w:tcW w:type="dxa" w:w="1701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SA/DEV</w:t>
            </w:r>
          </w:p>
        </w:tc>
        <w:tc>
          <w:tcPr>
            <w:tcW w:type="dxa" w:w="4535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依帳號與作答 ownership 改版</w:t>
            </w:r>
          </w:p>
        </w:tc>
      </w:tr>
      <w:tr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3.0</w:t>
            </w:r>
          </w:p>
        </w:tc>
        <w:tc>
          <w:tcPr>
            <w:tcW w:type="dxa" w:w="1701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2026-03-23</w:t>
            </w:r>
          </w:p>
        </w:tc>
        <w:tc>
          <w:tcPr>
            <w:tcW w:type="dxa" w:w="1701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SA/QA</w:t>
            </w:r>
          </w:p>
        </w:tc>
        <w:tc>
          <w:tcPr>
            <w:tcW w:type="dxa" w:w="4535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依 CMMI L3 補齊流程、追溯、量測、稽核與資料完整性約束</w:t>
            </w:r>
          </w:p>
        </w:tc>
      </w:tr>
      <w:tr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3.1</w:t>
            </w:r>
          </w:p>
        </w:tc>
        <w:tc>
          <w:tcPr>
            <w:tcW w:type="dxa" w:w="1701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2026-03-23</w:t>
            </w:r>
          </w:p>
        </w:tc>
        <w:tc>
          <w:tcPr>
            <w:tcW w:type="dxa" w:w="1701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SA/QA</w:t>
            </w:r>
          </w:p>
        </w:tc>
        <w:tc>
          <w:tcPr>
            <w:tcW w:type="dxa" w:w="4535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與專案管理、設計、程式、測試、資安、操作文件全面對版</w:t>
            </w:r>
          </w:p>
        </w:tc>
      </w:tr>
    </w:tbl>
    <w:p/>
    <w:p>
      <w:pPr>
        <w:pStyle w:val="Heading2"/>
      </w:pPr>
      <w:r>
        <w:rPr>
          <w:rFonts w:ascii="標楷體" w:hAnsi="標楷體"/>
          <w:sz w:val="28"/>
        </w:rPr>
        <w:t>1.3 審查與核准紀錄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角色</w:t>
            </w:r>
          </w:p>
        </w:tc>
        <w:tc>
          <w:tcPr>
            <w:tcW w:type="dxa" w:w="3969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責任</w:t>
            </w:r>
          </w:p>
        </w:tc>
        <w:tc>
          <w:tcPr>
            <w:tcW w:type="dxa" w:w="3118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產出</w:t>
            </w:r>
          </w:p>
        </w:tc>
      </w:tr>
      <w:tr>
        <w:tc>
          <w:tcPr>
            <w:tcW w:type="dxa" w:w="1701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SA</w:t>
            </w:r>
          </w:p>
        </w:tc>
        <w:tc>
          <w:tcPr>
            <w:tcW w:type="dxa" w:w="3969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需求蒐整與規格撰寫</w:t>
            </w:r>
          </w:p>
        </w:tc>
        <w:tc>
          <w:tcPr>
            <w:tcW w:type="dxa" w:w="311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分析規格草案</w:t>
            </w:r>
          </w:p>
        </w:tc>
      </w:tr>
      <w:tr>
        <w:tc>
          <w:tcPr>
            <w:tcW w:type="dxa" w:w="1701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DEV Lead</w:t>
            </w:r>
          </w:p>
        </w:tc>
        <w:tc>
          <w:tcPr>
            <w:tcW w:type="dxa" w:w="3969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技術可行性審查</w:t>
            </w:r>
          </w:p>
        </w:tc>
        <w:tc>
          <w:tcPr>
            <w:tcW w:type="dxa" w:w="311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可行性與影響評估</w:t>
            </w:r>
          </w:p>
        </w:tc>
      </w:tr>
      <w:tr>
        <w:tc>
          <w:tcPr>
            <w:tcW w:type="dxa" w:w="1701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QA</w:t>
            </w:r>
          </w:p>
        </w:tc>
        <w:tc>
          <w:tcPr>
            <w:tcW w:type="dxa" w:w="3969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可測試性審查</w:t>
            </w:r>
          </w:p>
        </w:tc>
        <w:tc>
          <w:tcPr>
            <w:tcW w:type="dxa" w:w="311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驗證點與測試需求</w:t>
            </w:r>
          </w:p>
        </w:tc>
      </w:tr>
      <w:tr>
        <w:tc>
          <w:tcPr>
            <w:tcW w:type="dxa" w:w="1701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PM/PO</w:t>
            </w:r>
          </w:p>
        </w:tc>
        <w:tc>
          <w:tcPr>
            <w:tcW w:type="dxa" w:w="3969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需求優先序與基線核准</w:t>
            </w:r>
          </w:p>
        </w:tc>
        <w:tc>
          <w:tcPr>
            <w:tcW w:type="dxa" w:w="311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核准與基線版</w:t>
            </w:r>
          </w:p>
        </w:tc>
      </w:tr>
    </w:tbl>
    <w:p/>
    <w:p>
      <w:pPr>
        <w:pStyle w:val="Heading2"/>
      </w:pPr>
      <w:r>
        <w:rPr>
          <w:rFonts w:ascii="標楷體" w:hAnsi="標楷體"/>
          <w:sz w:val="28"/>
        </w:rPr>
        <w:t>1.4 關聯文件</w:t>
      </w:r>
    </w:p>
    <w:p>
      <w:pPr>
        <w:ind w:left="425"/>
      </w:pPr>
      <w:r>
        <w:rPr>
          <w:rFonts w:ascii="新細明體" w:hAnsi="新細明體"/>
          <w:sz w:val="28"/>
        </w:rPr>
        <w:t>doc/專案管理計畫書.md</w:t>
      </w:r>
    </w:p>
    <w:p>
      <w:pPr>
        <w:ind w:left="425"/>
      </w:pPr>
      <w:r>
        <w:rPr>
          <w:rFonts w:ascii="新細明體" w:hAnsi="新細明體"/>
          <w:sz w:val="28"/>
        </w:rPr>
        <w:t>doc/系統設計規格書.md</w:t>
      </w:r>
    </w:p>
    <w:p>
      <w:pPr>
        <w:ind w:left="425"/>
      </w:pPr>
      <w:r>
        <w:rPr>
          <w:rFonts w:ascii="新細明體" w:hAnsi="新細明體"/>
          <w:sz w:val="28"/>
        </w:rPr>
        <w:t>doc/程式設計規格書.md</w:t>
      </w:r>
    </w:p>
    <w:p>
      <w:pPr>
        <w:ind w:left="425"/>
      </w:pPr>
      <w:r>
        <w:rPr>
          <w:rFonts w:ascii="新細明體" w:hAnsi="新細明體"/>
          <w:sz w:val="28"/>
        </w:rPr>
        <w:t>doc/測試報告.md</w:t>
      </w:r>
    </w:p>
    <w:p>
      <w:pPr>
        <w:ind w:left="425"/>
      </w:pPr>
      <w:r>
        <w:rPr>
          <w:rFonts w:ascii="新細明體" w:hAnsi="新細明體"/>
          <w:sz w:val="28"/>
        </w:rPr>
        <w:t>doc/資安檢測報告.md</w:t>
      </w:r>
    </w:p>
    <w:p>
      <w:pPr>
        <w:ind w:left="425"/>
      </w:pPr>
      <w:r>
        <w:rPr>
          <w:rFonts w:ascii="新細明體" w:hAnsi="新細明體"/>
          <w:sz w:val="28"/>
        </w:rPr>
        <w:t>doc/操作手冊.md</w:t>
      </w:r>
    </w:p>
    <w:p>
      <w:pPr>
        <w:pStyle w:val="Heading1"/>
      </w:pPr>
      <w:r>
        <w:rPr>
          <w:rFonts w:ascii="標楷體" w:hAnsi="標楷體"/>
          <w:sz w:val="28"/>
        </w:rPr>
        <w:t>2. 文件目的與適用範圍</w:t>
      </w:r>
    </w:p>
    <w:p>
      <w:pPr>
        <w:pStyle w:val="Heading2"/>
      </w:pPr>
      <w:r>
        <w:rPr>
          <w:rFonts w:ascii="標楷體" w:hAnsi="標楷體"/>
          <w:sz w:val="28"/>
        </w:rPr>
        <w:t>2.1 文件目的</w:t>
      </w:r>
    </w:p>
    <w:p>
      <w:pPr>
        <w:spacing w:before="100" w:after="100"/>
      </w:pPr>
      <w:r>
        <w:rPr>
          <w:rFonts w:ascii="新細明體" w:hAnsi="新細明體"/>
          <w:sz w:val="28"/>
        </w:rPr>
        <w:t>本文件定義系統需求、業務規則、資料需求、品質屬性、驗證準則與追溯關係，作為設計、開發、測試、驗收與變更管理之正式基準。</w:t>
      </w:r>
    </w:p>
    <w:p>
      <w:pPr>
        <w:pStyle w:val="Heading2"/>
      </w:pPr>
      <w:r>
        <w:rPr>
          <w:rFonts w:ascii="標楷體" w:hAnsi="標楷體"/>
          <w:sz w:val="28"/>
        </w:rPr>
        <w:t>2.2 適用範圍</w:t>
      </w:r>
    </w:p>
    <w:p>
      <w:pPr>
        <w:spacing w:before="100" w:after="100"/>
      </w:pPr>
      <w:r>
        <w:rPr>
          <w:rFonts w:ascii="新細明體" w:hAnsi="新細明體"/>
          <w:sz w:val="28"/>
        </w:rPr>
        <w:t>本文件適用於 FN_EXAM 專案全生命週期，包含需求分析、需求變更、實作驗證、驗收與維運改善。</w:t>
      </w:r>
    </w:p>
    <w:p>
      <w:pPr>
        <w:pStyle w:val="Heading2"/>
      </w:pPr>
      <w:r>
        <w:rPr>
          <w:rFonts w:ascii="標楷體" w:hAnsi="標楷體"/>
          <w:sz w:val="28"/>
        </w:rPr>
        <w:t>2.3 CMMI Level 3 對齊聲明</w:t>
      </w:r>
    </w:p>
    <w:p>
      <w:pPr>
        <w:spacing w:before="100" w:after="100"/>
      </w:pPr>
      <w:r>
        <w:rPr>
          <w:rFonts w:ascii="新細明體" w:hAnsi="新細明體"/>
          <w:sz w:val="28"/>
        </w:rPr>
        <w:t>本文件依 CMMI Level 3「定義化流程」精神，建立標準化且可稽核的需求管理工作產品，並提供可重複執行的流程、角色責任、量測與品質保證機制。</w:t>
      </w:r>
    </w:p>
    <w:p>
      <w:pPr>
        <w:pStyle w:val="Heading1"/>
      </w:pPr>
      <w:r>
        <w:rPr>
          <w:rFonts w:ascii="標楷體" w:hAnsi="標楷體"/>
          <w:sz w:val="28"/>
        </w:rPr>
        <w:t>3. CMMI Process Area 對應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18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CMMI PA</w:t>
            </w:r>
          </w:p>
        </w:tc>
        <w:tc>
          <w:tcPr>
            <w:tcW w:type="dxa" w:w="2268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對應章節</w:t>
            </w:r>
          </w:p>
        </w:tc>
        <w:tc>
          <w:tcPr>
            <w:tcW w:type="dxa" w:w="3402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主要工作產品</w:t>
            </w:r>
          </w:p>
        </w:tc>
      </w:tr>
      <w:tr>
        <w:tc>
          <w:tcPr>
            <w:tcW w:type="dxa" w:w="311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RD（Requirements Development）</w:t>
            </w:r>
          </w:p>
        </w:tc>
        <w:tc>
          <w:tcPr>
            <w:tcW w:type="dxa" w:w="226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第 5、7、8、9、10、11 章</w:t>
            </w:r>
          </w:p>
        </w:tc>
        <w:tc>
          <w:tcPr>
            <w:tcW w:type="dxa" w:w="3402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需求清單、業務規則、資料需求</w:t>
            </w:r>
          </w:p>
        </w:tc>
      </w:tr>
      <w:tr>
        <w:tc>
          <w:tcPr>
            <w:tcW w:type="dxa" w:w="311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REQM（Requirements Management）</w:t>
            </w:r>
          </w:p>
        </w:tc>
        <w:tc>
          <w:tcPr>
            <w:tcW w:type="dxa" w:w="226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第 5、12、16 章</w:t>
            </w:r>
          </w:p>
        </w:tc>
        <w:tc>
          <w:tcPr>
            <w:tcW w:type="dxa" w:w="3402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需求基線、追溯矩陣、變更紀錄</w:t>
            </w:r>
          </w:p>
        </w:tc>
      </w:tr>
      <w:tr>
        <w:tc>
          <w:tcPr>
            <w:tcW w:type="dxa" w:w="311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VER（Verification）</w:t>
            </w:r>
          </w:p>
        </w:tc>
        <w:tc>
          <w:tcPr>
            <w:tcW w:type="dxa" w:w="226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第 13 章</w:t>
            </w:r>
          </w:p>
        </w:tc>
        <w:tc>
          <w:tcPr>
            <w:tcW w:type="dxa" w:w="3402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審查清單、測試結果</w:t>
            </w:r>
          </w:p>
        </w:tc>
      </w:tr>
      <w:tr>
        <w:tc>
          <w:tcPr>
            <w:tcW w:type="dxa" w:w="311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VAL（Validation）</w:t>
            </w:r>
          </w:p>
        </w:tc>
        <w:tc>
          <w:tcPr>
            <w:tcW w:type="dxa" w:w="226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第 13、20 章</w:t>
            </w:r>
          </w:p>
        </w:tc>
        <w:tc>
          <w:tcPr>
            <w:tcW w:type="dxa" w:w="3402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驗收準則、UAT 結果</w:t>
            </w:r>
          </w:p>
        </w:tc>
      </w:tr>
      <w:tr>
        <w:tc>
          <w:tcPr>
            <w:tcW w:type="dxa" w:w="311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PPQA（Process &amp; Product Quality Assurance）</w:t>
            </w:r>
          </w:p>
        </w:tc>
        <w:tc>
          <w:tcPr>
            <w:tcW w:type="dxa" w:w="226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第 17 章</w:t>
            </w:r>
          </w:p>
        </w:tc>
        <w:tc>
          <w:tcPr>
            <w:tcW w:type="dxa" w:w="3402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稽核報告、矯正追蹤</w:t>
            </w:r>
          </w:p>
        </w:tc>
      </w:tr>
      <w:tr>
        <w:tc>
          <w:tcPr>
            <w:tcW w:type="dxa" w:w="311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MA（Measurement &amp; Analysis）</w:t>
            </w:r>
          </w:p>
        </w:tc>
        <w:tc>
          <w:tcPr>
            <w:tcW w:type="dxa" w:w="226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第 14 章</w:t>
            </w:r>
          </w:p>
        </w:tc>
        <w:tc>
          <w:tcPr>
            <w:tcW w:type="dxa" w:w="3402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度量指標與週期報表</w:t>
            </w:r>
          </w:p>
        </w:tc>
      </w:tr>
      <w:tr>
        <w:tc>
          <w:tcPr>
            <w:tcW w:type="dxa" w:w="311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CM（Configuration Management）</w:t>
            </w:r>
          </w:p>
        </w:tc>
        <w:tc>
          <w:tcPr>
            <w:tcW w:type="dxa" w:w="226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第 16 章</w:t>
            </w:r>
          </w:p>
        </w:tc>
        <w:tc>
          <w:tcPr>
            <w:tcW w:type="dxa" w:w="3402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基線、變更單、版本紀錄</w:t>
            </w:r>
          </w:p>
        </w:tc>
      </w:tr>
      <w:tr>
        <w:tc>
          <w:tcPr>
            <w:tcW w:type="dxa" w:w="311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RSKM（Risk Management）</w:t>
            </w:r>
          </w:p>
        </w:tc>
        <w:tc>
          <w:tcPr>
            <w:tcW w:type="dxa" w:w="226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第 15 章</w:t>
            </w:r>
          </w:p>
        </w:tc>
        <w:tc>
          <w:tcPr>
            <w:tcW w:type="dxa" w:w="3402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風險清單與應對計畫</w:t>
            </w:r>
          </w:p>
        </w:tc>
      </w:tr>
      <w:tr>
        <w:tc>
          <w:tcPr>
            <w:tcW w:type="dxa" w:w="311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DAR（Decision Analysis &amp; Resolution）</w:t>
            </w:r>
          </w:p>
        </w:tc>
        <w:tc>
          <w:tcPr>
            <w:tcW w:type="dxa" w:w="226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第 18 章</w:t>
            </w:r>
          </w:p>
        </w:tc>
        <w:tc>
          <w:tcPr>
            <w:tcW w:type="dxa" w:w="3402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決策矩陣與決策紀錄</w:t>
            </w:r>
          </w:p>
        </w:tc>
      </w:tr>
      <w:tr>
        <w:tc>
          <w:tcPr>
            <w:tcW w:type="dxa" w:w="311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OT（Organizational Training）</w:t>
            </w:r>
          </w:p>
        </w:tc>
        <w:tc>
          <w:tcPr>
            <w:tcW w:type="dxa" w:w="226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第 19 章</w:t>
            </w:r>
          </w:p>
        </w:tc>
        <w:tc>
          <w:tcPr>
            <w:tcW w:type="dxa" w:w="3402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訓練計畫與完成紀錄</w:t>
            </w:r>
          </w:p>
        </w:tc>
      </w:tr>
    </w:tbl>
    <w:p>
      <w:pPr>
        <w:pStyle w:val="Heading1"/>
      </w:pPr>
      <w:r>
        <w:rPr>
          <w:rFonts w:ascii="標楷體" w:hAnsi="標楷體"/>
          <w:sz w:val="28"/>
        </w:rPr>
        <w:t>4. 系統背景與目標</w:t>
      </w:r>
    </w:p>
    <w:p>
      <w:pPr>
        <w:pStyle w:val="Heading2"/>
      </w:pPr>
      <w:r>
        <w:rPr>
          <w:rFonts w:ascii="標楷體" w:hAnsi="標楷體"/>
          <w:sz w:val="28"/>
        </w:rPr>
        <w:t>4.1 系統背景</w:t>
      </w:r>
    </w:p>
    <w:p>
      <w:pPr>
        <w:spacing w:before="100" w:after="100"/>
      </w:pPr>
      <w:r>
        <w:rPr>
          <w:rFonts w:ascii="新細明體" w:hAnsi="新細明體"/>
          <w:sz w:val="28"/>
        </w:rPr>
        <w:t>本系統提供線上題庫管理、試卷管理、學生作答、自動評分、人工批改、成績分析與 AI 輔助出題，供校內或補教場域使用。</w:t>
      </w:r>
    </w:p>
    <w:p>
      <w:pPr>
        <w:pStyle w:val="Heading2"/>
      </w:pPr>
      <w:r>
        <w:rPr>
          <w:rFonts w:ascii="標楷體" w:hAnsi="標楷體"/>
          <w:sz w:val="28"/>
        </w:rPr>
        <w:t>4.2 商業與品質目標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目標編號</w:t>
            </w:r>
          </w:p>
        </w:tc>
        <w:tc>
          <w:tcPr>
            <w:tcW w:type="dxa" w:w="2835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目標說明</w:t>
            </w:r>
          </w:p>
        </w:tc>
        <w:tc>
          <w:tcPr>
            <w:tcW w:type="dxa" w:w="2268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量測方式</w:t>
            </w:r>
          </w:p>
        </w:tc>
        <w:tc>
          <w:tcPr>
            <w:tcW w:type="dxa" w:w="2268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目標值</w:t>
            </w:r>
          </w:p>
        </w:tc>
      </w:tr>
      <w:tr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BG-01</w:t>
            </w:r>
          </w:p>
        </w:tc>
        <w:tc>
          <w:tcPr>
            <w:tcW w:type="dxa" w:w="2835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提升命題與出卷效率</w:t>
            </w:r>
          </w:p>
        </w:tc>
        <w:tc>
          <w:tcPr>
            <w:tcW w:type="dxa" w:w="226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建卷工時</w:t>
            </w:r>
          </w:p>
        </w:tc>
        <w:tc>
          <w:tcPr>
            <w:tcW w:type="dxa" w:w="226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較基準下降 30%</w:t>
            </w:r>
          </w:p>
        </w:tc>
      </w:tr>
      <w:tr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BG-02</w:t>
            </w:r>
          </w:p>
        </w:tc>
        <w:tc>
          <w:tcPr>
            <w:tcW w:type="dxa" w:w="2835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穩定提供線上作答服務</w:t>
            </w:r>
          </w:p>
        </w:tc>
        <w:tc>
          <w:tcPr>
            <w:tcW w:type="dxa" w:w="226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作答流程成功率</w:t>
            </w:r>
          </w:p>
        </w:tc>
        <w:tc>
          <w:tcPr>
            <w:tcW w:type="dxa" w:w="226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&gt;= 99%</w:t>
            </w:r>
          </w:p>
        </w:tc>
      </w:tr>
      <w:tr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BG-03</w:t>
            </w:r>
          </w:p>
        </w:tc>
        <w:tc>
          <w:tcPr>
            <w:tcW w:type="dxa" w:w="2835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強化資料與權限正確性</w:t>
            </w:r>
          </w:p>
        </w:tc>
        <w:tc>
          <w:tcPr>
            <w:tcW w:type="dxa" w:w="226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權限缺陷數（高風險）</w:t>
            </w:r>
          </w:p>
        </w:tc>
        <w:tc>
          <w:tcPr>
            <w:tcW w:type="dxa" w:w="226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0 件/版本</w:t>
            </w:r>
          </w:p>
        </w:tc>
      </w:tr>
      <w:tr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BG-04</w:t>
            </w:r>
          </w:p>
        </w:tc>
        <w:tc>
          <w:tcPr>
            <w:tcW w:type="dxa" w:w="2835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提升分析可用性</w:t>
            </w:r>
          </w:p>
        </w:tc>
        <w:tc>
          <w:tcPr>
            <w:tcW w:type="dxa" w:w="226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報表產出成功率</w:t>
            </w:r>
          </w:p>
        </w:tc>
        <w:tc>
          <w:tcPr>
            <w:tcW w:type="dxa" w:w="226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&gt;= 99%</w:t>
            </w:r>
          </w:p>
        </w:tc>
      </w:tr>
    </w:tbl>
    <w:p>
      <w:pPr>
        <w:pStyle w:val="Heading1"/>
      </w:pPr>
      <w:r>
        <w:rPr>
          <w:rFonts w:ascii="標楷體" w:hAnsi="標楷體"/>
          <w:sz w:val="28"/>
        </w:rPr>
        <w:t>5. 已定義需求流程（L3）</w:t>
      </w:r>
    </w:p>
    <w:p>
      <w:pPr>
        <w:pStyle w:val="Heading2"/>
      </w:pPr>
      <w:r>
        <w:rPr>
          <w:rFonts w:ascii="標楷體" w:hAnsi="標楷體"/>
          <w:sz w:val="28"/>
        </w:rPr>
        <w:t>5.1 流程步驟</w:t>
      </w:r>
    </w:p>
    <w:p>
      <w:pPr>
        <w:ind w:left="425"/>
      </w:pPr>
      <w:r>
        <w:rPr>
          <w:rFonts w:ascii="新細明體" w:hAnsi="新細明體"/>
          <w:sz w:val="28"/>
        </w:rPr>
        <w:t>1. 需求蒐集：訪談、既有系統盤點、法規與資安要求彙整。</w:t>
      </w:r>
    </w:p>
    <w:p>
      <w:pPr>
        <w:ind w:left="425"/>
      </w:pPr>
      <w:r>
        <w:rPr>
          <w:rFonts w:ascii="新細明體" w:hAnsi="新細明體"/>
          <w:sz w:val="28"/>
        </w:rPr>
        <w:t>2. 需求分析：歸類為功能、非功能、資料、介面與限制需求。</w:t>
      </w:r>
    </w:p>
    <w:p>
      <w:pPr>
        <w:ind w:left="425"/>
      </w:pPr>
      <w:r>
        <w:rPr>
          <w:rFonts w:ascii="新細明體" w:hAnsi="新細明體"/>
          <w:sz w:val="28"/>
        </w:rPr>
        <w:t>3. 需求規格化：賦予唯一 ID、優先序、來源、驗證方法。</w:t>
      </w:r>
    </w:p>
    <w:p>
      <w:pPr>
        <w:ind w:left="425"/>
      </w:pPr>
      <w:r>
        <w:rPr>
          <w:rFonts w:ascii="新細明體" w:hAnsi="新細明體"/>
          <w:sz w:val="28"/>
        </w:rPr>
        <w:t>4. 需求審查：SA/DEV/QA/PO 共同審查完整性、可行性、可測試性。</w:t>
      </w:r>
    </w:p>
    <w:p>
      <w:pPr>
        <w:ind w:left="425"/>
      </w:pPr>
      <w:r>
        <w:rPr>
          <w:rFonts w:ascii="新細明體" w:hAnsi="新細明體"/>
          <w:sz w:val="28"/>
        </w:rPr>
        <w:t>5. 建立基線：核准後凍結版次，列入組態管理。</w:t>
      </w:r>
    </w:p>
    <w:p>
      <w:pPr>
        <w:ind w:left="425"/>
      </w:pPr>
      <w:r>
        <w:rPr>
          <w:rFonts w:ascii="新細明體" w:hAnsi="新細明體"/>
          <w:sz w:val="28"/>
        </w:rPr>
        <w:t>6. 需求追溯：維護需求到設計、程式、測試與驗收之雙向追溯。</w:t>
      </w:r>
    </w:p>
    <w:p>
      <w:pPr>
        <w:ind w:left="425"/>
      </w:pPr>
      <w:r>
        <w:rPr>
          <w:rFonts w:ascii="新細明體" w:hAnsi="新細明體"/>
          <w:sz w:val="28"/>
        </w:rPr>
        <w:t>7. 需求變更：透過 CCB 申請、評估、核准後才可更新基線。</w:t>
      </w:r>
    </w:p>
    <w:p>
      <w:pPr>
        <w:pStyle w:val="Heading2"/>
      </w:pPr>
      <w:r>
        <w:rPr>
          <w:rFonts w:ascii="標楷體" w:hAnsi="標楷體"/>
          <w:sz w:val="28"/>
        </w:rPr>
        <w:t>5.2 需求狀態模型</w:t>
      </w:r>
    </w:p>
    <w:p>
      <w:pPr>
        <w:spacing w:before="100" w:after="100"/>
      </w:pPr>
      <w:r>
        <w:rPr>
          <w:rFonts w:ascii="新細明體" w:hAnsi="新細明體"/>
          <w:sz w:val="28"/>
        </w:rPr>
        <w:t>Draft → Analyzed → Reviewed → Approved → Baselined → Implemented → Verified → Validated → Closed</w:t>
      </w:r>
    </w:p>
    <w:p>
      <w:pPr>
        <w:pStyle w:val="Heading2"/>
      </w:pPr>
      <w:r>
        <w:rPr>
          <w:rFonts w:ascii="標楷體" w:hAnsi="標楷體"/>
          <w:sz w:val="28"/>
        </w:rPr>
        <w:t>5.3 進入／退出準則</w:t>
      </w:r>
    </w:p>
    <w:p>
      <w:pPr>
        <w:ind w:left="425"/>
      </w:pPr>
      <w:r>
        <w:rPr>
          <w:rFonts w:ascii="新細明體" w:hAnsi="新細明體"/>
          <w:sz w:val="28"/>
        </w:rPr>
        <w:t>進入準則：需求來源明確、範圍已界定、關鍵利害關係人可參與審查。</w:t>
      </w:r>
    </w:p>
    <w:p>
      <w:pPr>
        <w:ind w:left="425"/>
      </w:pPr>
      <w:r>
        <w:rPr>
          <w:rFonts w:ascii="新細明體" w:hAnsi="新細明體"/>
          <w:sz w:val="28"/>
        </w:rPr>
        <w:t>退出準則：需求已編號、可追溯、可測試、已核准、已納入基線。</w:t>
      </w:r>
    </w:p>
    <w:p>
      <w:pPr>
        <w:pStyle w:val="Heading1"/>
      </w:pPr>
      <w:r>
        <w:rPr>
          <w:rFonts w:ascii="標楷體" w:hAnsi="標楷體"/>
          <w:sz w:val="28"/>
        </w:rPr>
        <w:t>6. 利害關係人與 RACI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551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活動</w:t>
            </w:r>
          </w:p>
        </w:tc>
        <w:tc>
          <w:tcPr>
            <w:tcW w:type="dxa" w:w="850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PM</w:t>
            </w:r>
          </w:p>
        </w:tc>
        <w:tc>
          <w:tcPr>
            <w:tcW w:type="dxa" w:w="850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SA</w:t>
            </w:r>
          </w:p>
        </w:tc>
        <w:tc>
          <w:tcPr>
            <w:tcW w:type="dxa" w:w="850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DEV</w:t>
            </w:r>
          </w:p>
        </w:tc>
        <w:tc>
          <w:tcPr>
            <w:tcW w:type="dxa" w:w="850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QA</w:t>
            </w:r>
          </w:p>
        </w:tc>
        <w:tc>
          <w:tcPr>
            <w:tcW w:type="dxa" w:w="1134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PO/SME</w:t>
            </w:r>
          </w:p>
        </w:tc>
        <w:tc>
          <w:tcPr>
            <w:tcW w:type="dxa" w:w="850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OPS</w:t>
            </w:r>
          </w:p>
        </w:tc>
      </w:tr>
      <w:tr>
        <w:tc>
          <w:tcPr>
            <w:tcW w:type="dxa" w:w="2551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需求蒐集</w:t>
            </w:r>
          </w:p>
        </w:tc>
        <w:tc>
          <w:tcPr>
            <w:tcW w:type="dxa" w:w="85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A</w:t>
            </w:r>
          </w:p>
        </w:tc>
        <w:tc>
          <w:tcPr>
            <w:tcW w:type="dxa" w:w="85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R</w:t>
            </w:r>
          </w:p>
        </w:tc>
        <w:tc>
          <w:tcPr>
            <w:tcW w:type="dxa" w:w="85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C</w:t>
            </w:r>
          </w:p>
        </w:tc>
        <w:tc>
          <w:tcPr>
            <w:tcW w:type="dxa" w:w="85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C</w:t>
            </w:r>
          </w:p>
        </w:tc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R</w:t>
            </w:r>
          </w:p>
        </w:tc>
        <w:tc>
          <w:tcPr>
            <w:tcW w:type="dxa" w:w="85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I</w:t>
            </w:r>
          </w:p>
        </w:tc>
      </w:tr>
      <w:tr>
        <w:tc>
          <w:tcPr>
            <w:tcW w:type="dxa" w:w="2551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需求分析與規格</w:t>
            </w:r>
          </w:p>
        </w:tc>
        <w:tc>
          <w:tcPr>
            <w:tcW w:type="dxa" w:w="85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C</w:t>
            </w:r>
          </w:p>
        </w:tc>
        <w:tc>
          <w:tcPr>
            <w:tcW w:type="dxa" w:w="85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A/R</w:t>
            </w:r>
          </w:p>
        </w:tc>
        <w:tc>
          <w:tcPr>
            <w:tcW w:type="dxa" w:w="85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C</w:t>
            </w:r>
          </w:p>
        </w:tc>
        <w:tc>
          <w:tcPr>
            <w:tcW w:type="dxa" w:w="85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C</w:t>
            </w:r>
          </w:p>
        </w:tc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C</w:t>
            </w:r>
          </w:p>
        </w:tc>
        <w:tc>
          <w:tcPr>
            <w:tcW w:type="dxa" w:w="85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I</w:t>
            </w:r>
          </w:p>
        </w:tc>
      </w:tr>
      <w:tr>
        <w:tc>
          <w:tcPr>
            <w:tcW w:type="dxa" w:w="2551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需求審查</w:t>
            </w:r>
          </w:p>
        </w:tc>
        <w:tc>
          <w:tcPr>
            <w:tcW w:type="dxa" w:w="85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A</w:t>
            </w:r>
          </w:p>
        </w:tc>
        <w:tc>
          <w:tcPr>
            <w:tcW w:type="dxa" w:w="85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R</w:t>
            </w:r>
          </w:p>
        </w:tc>
        <w:tc>
          <w:tcPr>
            <w:tcW w:type="dxa" w:w="85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R</w:t>
            </w:r>
          </w:p>
        </w:tc>
        <w:tc>
          <w:tcPr>
            <w:tcW w:type="dxa" w:w="85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R</w:t>
            </w:r>
          </w:p>
        </w:tc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A</w:t>
            </w:r>
          </w:p>
        </w:tc>
        <w:tc>
          <w:tcPr>
            <w:tcW w:type="dxa" w:w="85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I</w:t>
            </w:r>
          </w:p>
        </w:tc>
      </w:tr>
      <w:tr>
        <w:tc>
          <w:tcPr>
            <w:tcW w:type="dxa" w:w="2551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實作與單元驗證</w:t>
            </w:r>
          </w:p>
        </w:tc>
        <w:tc>
          <w:tcPr>
            <w:tcW w:type="dxa" w:w="85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I</w:t>
            </w:r>
          </w:p>
        </w:tc>
        <w:tc>
          <w:tcPr>
            <w:tcW w:type="dxa" w:w="85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C</w:t>
            </w:r>
          </w:p>
        </w:tc>
        <w:tc>
          <w:tcPr>
            <w:tcW w:type="dxa" w:w="85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A/R</w:t>
            </w:r>
          </w:p>
        </w:tc>
        <w:tc>
          <w:tcPr>
            <w:tcW w:type="dxa" w:w="85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C</w:t>
            </w:r>
          </w:p>
        </w:tc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I</w:t>
            </w:r>
          </w:p>
        </w:tc>
        <w:tc>
          <w:tcPr>
            <w:tcW w:type="dxa" w:w="85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I</w:t>
            </w:r>
          </w:p>
        </w:tc>
      </w:tr>
      <w:tr>
        <w:tc>
          <w:tcPr>
            <w:tcW w:type="dxa" w:w="2551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系統/驗收測試</w:t>
            </w:r>
          </w:p>
        </w:tc>
        <w:tc>
          <w:tcPr>
            <w:tcW w:type="dxa" w:w="85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I</w:t>
            </w:r>
          </w:p>
        </w:tc>
        <w:tc>
          <w:tcPr>
            <w:tcW w:type="dxa" w:w="85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C</w:t>
            </w:r>
          </w:p>
        </w:tc>
        <w:tc>
          <w:tcPr>
            <w:tcW w:type="dxa" w:w="85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C</w:t>
            </w:r>
          </w:p>
        </w:tc>
        <w:tc>
          <w:tcPr>
            <w:tcW w:type="dxa" w:w="85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A/R</w:t>
            </w:r>
          </w:p>
        </w:tc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R</w:t>
            </w:r>
          </w:p>
        </w:tc>
        <w:tc>
          <w:tcPr>
            <w:tcW w:type="dxa" w:w="85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I</w:t>
            </w:r>
          </w:p>
        </w:tc>
      </w:tr>
      <w:tr>
        <w:tc>
          <w:tcPr>
            <w:tcW w:type="dxa" w:w="2551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發布與維運</w:t>
            </w:r>
          </w:p>
        </w:tc>
        <w:tc>
          <w:tcPr>
            <w:tcW w:type="dxa" w:w="85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C</w:t>
            </w:r>
          </w:p>
        </w:tc>
        <w:tc>
          <w:tcPr>
            <w:tcW w:type="dxa" w:w="85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I</w:t>
            </w:r>
          </w:p>
        </w:tc>
        <w:tc>
          <w:tcPr>
            <w:tcW w:type="dxa" w:w="85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C</w:t>
            </w:r>
          </w:p>
        </w:tc>
        <w:tc>
          <w:tcPr>
            <w:tcW w:type="dxa" w:w="85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C</w:t>
            </w:r>
          </w:p>
        </w:tc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I</w:t>
            </w:r>
          </w:p>
        </w:tc>
        <w:tc>
          <w:tcPr>
            <w:tcW w:type="dxa" w:w="85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A/R</w:t>
            </w:r>
          </w:p>
        </w:tc>
      </w:tr>
    </w:tbl>
    <w:p/>
    <w:p>
      <w:pPr>
        <w:spacing w:before="100" w:after="100"/>
      </w:pPr>
      <w:r>
        <w:rPr>
          <w:rFonts w:ascii="新細明體" w:hAnsi="新細明體"/>
          <w:sz w:val="28"/>
        </w:rPr>
        <w:t>說明：R = Responsible（執行）　A = Accountable（負責）　C = Consulted（諮詢）　I = Informed（知會）</w:t>
      </w:r>
    </w:p>
    <w:p>
      <w:pPr>
        <w:pStyle w:val="Heading1"/>
      </w:pPr>
      <w:r>
        <w:rPr>
          <w:rFonts w:ascii="標楷體" w:hAnsi="標楷體"/>
          <w:sz w:val="28"/>
        </w:rPr>
        <w:t>7. 系統範圍與邊界</w:t>
      </w:r>
    </w:p>
    <w:p>
      <w:pPr>
        <w:pStyle w:val="Heading2"/>
      </w:pPr>
      <w:r>
        <w:rPr>
          <w:rFonts w:ascii="標楷體" w:hAnsi="標楷體"/>
          <w:sz w:val="28"/>
        </w:rPr>
        <w:t>7.1 範圍內</w:t>
      </w:r>
    </w:p>
    <w:p>
      <w:pPr>
        <w:ind w:left="425"/>
      </w:pPr>
      <w:r>
        <w:rPr>
          <w:rFonts w:ascii="新細明體" w:hAnsi="新細明體"/>
          <w:sz w:val="28"/>
        </w:rPr>
        <w:t>管理端與學生端帳號登入、Session 驗證</w:t>
      </w:r>
    </w:p>
    <w:p>
      <w:pPr>
        <w:ind w:left="425"/>
      </w:pPr>
      <w:r>
        <w:rPr>
          <w:rFonts w:ascii="新細明體" w:hAnsi="新細明體"/>
          <w:sz w:val="28"/>
        </w:rPr>
        <w:t>題庫管理（CRUD、批次匯入、審查狀態）</w:t>
      </w:r>
    </w:p>
    <w:p>
      <w:pPr>
        <w:ind w:left="425"/>
      </w:pPr>
      <w:r>
        <w:rPr>
          <w:rFonts w:ascii="新細明體" w:hAnsi="新細明體"/>
          <w:sz w:val="28"/>
        </w:rPr>
        <w:t>試卷管理（CRUD、題目配分、開放條件）</w:t>
      </w:r>
    </w:p>
    <w:p>
      <w:pPr>
        <w:ind w:left="425"/>
      </w:pPr>
      <w:r>
        <w:rPr>
          <w:rFonts w:ascii="新細明體" w:hAnsi="新細明體"/>
          <w:sz w:val="28"/>
        </w:rPr>
        <w:t>學生作答（進度保存、交卷、自動評分）</w:t>
      </w:r>
    </w:p>
    <w:p>
      <w:pPr>
        <w:ind w:left="425"/>
      </w:pPr>
      <w:r>
        <w:rPr>
          <w:rFonts w:ascii="新細明體" w:hAnsi="新細明體"/>
          <w:sz w:val="28"/>
        </w:rPr>
        <w:t>人工批改（寫作/口說）</w:t>
      </w:r>
    </w:p>
    <w:p>
      <w:pPr>
        <w:ind w:left="425"/>
      </w:pPr>
      <w:r>
        <w:rPr>
          <w:rFonts w:ascii="新細明體" w:hAnsi="新細明體"/>
          <w:sz w:val="28"/>
        </w:rPr>
        <w:t>成績、分析與推薦</w:t>
      </w:r>
    </w:p>
    <w:p>
      <w:pPr>
        <w:ind w:left="425"/>
      </w:pPr>
      <w:r>
        <w:rPr>
          <w:rFonts w:ascii="新細明體" w:hAnsi="新細明體"/>
          <w:sz w:val="28"/>
        </w:rPr>
        <w:t>AI 輔助出題</w:t>
      </w:r>
    </w:p>
    <w:p>
      <w:pPr>
        <w:ind w:left="425"/>
      </w:pPr>
      <w:r>
        <w:rPr>
          <w:rFonts w:ascii="新細明體" w:hAnsi="新細明體"/>
          <w:sz w:val="28"/>
        </w:rPr>
        <w:t>音訊/圖片上傳（含授權與作答綁定）</w:t>
      </w:r>
    </w:p>
    <w:p>
      <w:pPr>
        <w:pStyle w:val="Heading2"/>
      </w:pPr>
      <w:r>
        <w:rPr>
          <w:rFonts w:ascii="標楷體" w:hAnsi="標楷體"/>
          <w:sz w:val="28"/>
        </w:rPr>
        <w:t>7.2 範圍外</w:t>
      </w:r>
    </w:p>
    <w:p>
      <w:pPr>
        <w:ind w:left="425"/>
      </w:pPr>
      <w:r>
        <w:rPr>
          <w:rFonts w:ascii="新細明體" w:hAnsi="新細明體"/>
          <w:sz w:val="28"/>
        </w:rPr>
        <w:t>多租戶（多校）隔離</w:t>
      </w:r>
    </w:p>
    <w:p>
      <w:pPr>
        <w:ind w:left="425"/>
      </w:pPr>
      <w:r>
        <w:rPr>
          <w:rFonts w:ascii="新細明體" w:hAnsi="新細明體"/>
          <w:sz w:val="28"/>
        </w:rPr>
        <w:t>金流、課程管理、學籍主檔整合</w:t>
      </w:r>
    </w:p>
    <w:p>
      <w:pPr>
        <w:ind w:left="425"/>
      </w:pPr>
      <w:r>
        <w:rPr>
          <w:rFonts w:ascii="新細明體" w:hAnsi="新細明體"/>
          <w:sz w:val="28"/>
        </w:rPr>
        <w:t>分散式高可用叢集與跨區容災</w:t>
      </w:r>
    </w:p>
    <w:p>
      <w:pPr>
        <w:pStyle w:val="Heading2"/>
      </w:pPr>
      <w:r>
        <w:rPr>
          <w:rFonts w:ascii="標楷體" w:hAnsi="標楷體"/>
          <w:sz w:val="28"/>
        </w:rPr>
        <w:t>7.3 外部介接</w:t>
      </w:r>
    </w:p>
    <w:p>
      <w:pPr>
        <w:ind w:left="425"/>
      </w:pPr>
      <w:r>
        <w:rPr>
          <w:rFonts w:ascii="新細明體" w:hAnsi="新細明體"/>
          <w:sz w:val="28"/>
        </w:rPr>
        <w:t>OpenAI API</w:t>
      </w:r>
    </w:p>
    <w:p>
      <w:pPr>
        <w:ind w:left="425"/>
      </w:pPr>
      <w:r>
        <w:rPr>
          <w:rFonts w:ascii="新細明體" w:hAnsi="新細明體"/>
          <w:sz w:val="28"/>
        </w:rPr>
        <w:t>Google Gemini API</w:t>
      </w:r>
    </w:p>
    <w:p>
      <w:pPr>
        <w:ind w:left="425"/>
      </w:pPr>
      <w:r>
        <w:rPr>
          <w:rFonts w:ascii="新細明體" w:hAnsi="新細明體"/>
          <w:sz w:val="28"/>
        </w:rPr>
        <w:t>Anthropic Claude API</w:t>
      </w:r>
    </w:p>
    <w:p>
      <w:pPr>
        <w:pStyle w:val="Heading1"/>
      </w:pPr>
      <w:r>
        <w:rPr>
          <w:rFonts w:ascii="標楷體" w:hAnsi="標楷體"/>
          <w:sz w:val="28"/>
        </w:rPr>
        <w:t>8. 業務流程分析</w:t>
      </w:r>
    </w:p>
    <w:p>
      <w:pPr>
        <w:pStyle w:val="Heading2"/>
      </w:pPr>
      <w:r>
        <w:rPr>
          <w:rFonts w:ascii="標楷體" w:hAnsi="標楷體"/>
          <w:sz w:val="28"/>
        </w:rPr>
        <w:t>8.1 登入與授權流程</w:t>
      </w:r>
    </w:p>
    <w:p>
      <w:pPr>
        <w:ind w:left="425"/>
      </w:pPr>
      <w:r>
        <w:rPr>
          <w:rFonts w:ascii="新細明體" w:hAnsi="新細明體"/>
          <w:sz w:val="28"/>
        </w:rPr>
        <w:t>1. 使用者輸入帳密登入（統一端點 POST /api/login）。</w:t>
      </w:r>
    </w:p>
    <w:p>
      <w:pPr>
        <w:ind w:left="425"/>
      </w:pPr>
      <w:r>
        <w:rPr>
          <w:rFonts w:ascii="新細明體" w:hAnsi="新細明體"/>
          <w:sz w:val="28"/>
        </w:rPr>
        <w:t>2. 系統驗證密碼雜湊（scrypt-v1，支援舊版 SHA-256 自動升級）。</w:t>
      </w:r>
    </w:p>
    <w:p>
      <w:pPr>
        <w:ind w:left="425"/>
      </w:pPr>
      <w:r>
        <w:rPr>
          <w:rFonts w:ascii="新細明體" w:hAnsi="新細明體"/>
          <w:sz w:val="28"/>
        </w:rPr>
        <w:t>3. 建立 Session Cookie（管理者 admin_session / 學生 student_session）。</w:t>
      </w:r>
    </w:p>
    <w:p>
      <w:pPr>
        <w:ind w:left="425"/>
      </w:pPr>
      <w:r>
        <w:rPr>
          <w:rFonts w:ascii="新細明體" w:hAnsi="新細明體"/>
          <w:sz w:val="28"/>
        </w:rPr>
        <w:t>4. 管理端 API 與學生端 API 依 Session 與角色授權（requireAdmin / requireStudent）。</w:t>
      </w:r>
    </w:p>
    <w:p>
      <w:pPr>
        <w:pStyle w:val="Heading2"/>
      </w:pPr>
      <w:r>
        <w:rPr>
          <w:rFonts w:ascii="標楷體" w:hAnsi="標楷體"/>
          <w:sz w:val="28"/>
        </w:rPr>
        <w:t>8.2 題庫管理流程</w:t>
      </w:r>
    </w:p>
    <w:p>
      <w:pPr>
        <w:ind w:left="425"/>
      </w:pPr>
      <w:r>
        <w:rPr>
          <w:rFonts w:ascii="新細明體" w:hAnsi="新細明體"/>
          <w:sz w:val="28"/>
        </w:rPr>
        <w:t>1. 管理者查詢或篩選題目（subject_id、type、difficulty、grade_level）。</w:t>
      </w:r>
    </w:p>
    <w:p>
      <w:pPr>
        <w:ind w:left="425"/>
      </w:pPr>
      <w:r>
        <w:rPr>
          <w:rFonts w:ascii="新細明體" w:hAnsi="新細明體"/>
          <w:sz w:val="28"/>
        </w:rPr>
        <w:t>2. 新增/編輯題目資料，系統檢核題型、難度與必填欄位。</w:t>
      </w:r>
    </w:p>
    <w:p>
      <w:pPr>
        <w:ind w:left="425"/>
      </w:pPr>
      <w:r>
        <w:rPr>
          <w:rFonts w:ascii="新細明體" w:hAnsi="新細明體"/>
          <w:sz w:val="28"/>
        </w:rPr>
        <w:t>3. 寫入題庫並更新審查與統計欄位。</w:t>
      </w:r>
    </w:p>
    <w:p>
      <w:pPr>
        <w:pStyle w:val="Heading2"/>
      </w:pPr>
      <w:r>
        <w:rPr>
          <w:rFonts w:ascii="標楷體" w:hAnsi="標楷體"/>
          <w:sz w:val="28"/>
        </w:rPr>
        <w:t>8.3 試卷管理流程</w:t>
      </w:r>
    </w:p>
    <w:p>
      <w:pPr>
        <w:ind w:left="425"/>
      </w:pPr>
      <w:r>
        <w:rPr>
          <w:rFonts w:ascii="新細明體" w:hAnsi="新細明體"/>
          <w:sz w:val="28"/>
        </w:rPr>
        <w:t>1. 管理者建立試卷與題目配分。</w:t>
      </w:r>
    </w:p>
    <w:p>
      <w:pPr>
        <w:ind w:left="425"/>
      </w:pPr>
      <w:r>
        <w:rPr>
          <w:rFonts w:ascii="新細明體" w:hAnsi="新細明體"/>
          <w:sz w:val="28"/>
        </w:rPr>
        <w:t>2. 設定 draft/active/closed、時間窗、存取碼、可作答次數。</w:t>
      </w:r>
    </w:p>
    <w:p>
      <w:pPr>
        <w:ind w:left="425"/>
      </w:pPr>
      <w:r>
        <w:rPr>
          <w:rFonts w:ascii="新細明體" w:hAnsi="新細明體"/>
          <w:sz w:val="28"/>
        </w:rPr>
        <w:t>3. 學生僅可作答符合條件之 active 試卷。</w:t>
      </w:r>
    </w:p>
    <w:p>
      <w:pPr>
        <w:pStyle w:val="Heading2"/>
      </w:pPr>
      <w:r>
        <w:rPr>
          <w:rFonts w:ascii="標楷體" w:hAnsi="標楷體"/>
          <w:sz w:val="28"/>
        </w:rPr>
        <w:t>8.4 學生作答流程</w:t>
      </w:r>
    </w:p>
    <w:p>
      <w:pPr>
        <w:ind w:left="425"/>
      </w:pPr>
      <w:r>
        <w:rPr>
          <w:rFonts w:ascii="新細明體" w:hAnsi="新細明體"/>
          <w:sz w:val="28"/>
        </w:rPr>
        <w:t>1. 學生登入後建立作答 Session。</w:t>
      </w:r>
    </w:p>
    <w:p>
      <w:pPr>
        <w:ind w:left="425"/>
      </w:pPr>
      <w:r>
        <w:rPr>
          <w:rFonts w:ascii="新細明體" w:hAnsi="新細明體"/>
          <w:sz w:val="28"/>
        </w:rPr>
        <w:t>2. 系統以 student_account_id ownership 建立/續作作答。</w:t>
      </w:r>
    </w:p>
    <w:p>
      <w:pPr>
        <w:ind w:left="425"/>
      </w:pPr>
      <w:r>
        <w:rPr>
          <w:rFonts w:ascii="新細明體" w:hAnsi="新細明體"/>
          <w:sz w:val="28"/>
        </w:rPr>
        <w:t>3. 作答中定期儲存進度。</w:t>
      </w:r>
    </w:p>
    <w:p>
      <w:pPr>
        <w:ind w:left="425"/>
      </w:pPr>
      <w:r>
        <w:rPr>
          <w:rFonts w:ascii="新細明體" w:hAnsi="新細明體"/>
          <w:sz w:val="28"/>
        </w:rPr>
        <w:t>4. 交卷後建立 submissions 與 answer_details，更新題目統計。</w:t>
      </w:r>
    </w:p>
    <w:p>
      <w:pPr>
        <w:pStyle w:val="Heading2"/>
      </w:pPr>
      <w:r>
        <w:rPr>
          <w:rFonts w:ascii="標楷體" w:hAnsi="標楷體"/>
          <w:sz w:val="28"/>
        </w:rPr>
        <w:t>8.5 人工批改流程</w:t>
      </w:r>
    </w:p>
    <w:p>
      <w:pPr>
        <w:ind w:left="425"/>
      </w:pPr>
      <w:r>
        <w:rPr>
          <w:rFonts w:ascii="新細明體" w:hAnsi="新細明體"/>
          <w:sz w:val="28"/>
        </w:rPr>
        <w:t>1. 教師查詢待批改明細。</w:t>
      </w:r>
    </w:p>
    <w:p>
      <w:pPr>
        <w:ind w:left="425"/>
      </w:pPr>
      <w:r>
        <w:rPr>
          <w:rFonts w:ascii="新細明體" w:hAnsi="新細明體"/>
          <w:sz w:val="28"/>
        </w:rPr>
        <w:t>2. 輸入 rubric 分數與評語。</w:t>
      </w:r>
    </w:p>
    <w:p>
      <w:pPr>
        <w:ind w:left="425"/>
      </w:pPr>
      <w:r>
        <w:rPr>
          <w:rFonts w:ascii="新細明體" w:hAnsi="新細明體"/>
          <w:sz w:val="28"/>
        </w:rPr>
        <w:t>3. 系統回寫明細與總分。</w:t>
      </w:r>
    </w:p>
    <w:p>
      <w:pPr>
        <w:pStyle w:val="Heading2"/>
      </w:pPr>
      <w:r>
        <w:rPr>
          <w:rFonts w:ascii="標楷體" w:hAnsi="標楷體"/>
          <w:sz w:val="28"/>
        </w:rPr>
        <w:t>8.6 音訊上傳流程（口說題）</w:t>
      </w:r>
    </w:p>
    <w:p>
      <w:pPr>
        <w:ind w:left="425"/>
      </w:pPr>
      <w:r>
        <w:rPr>
          <w:rFonts w:ascii="新細明體" w:hAnsi="新細明體"/>
          <w:sz w:val="28"/>
        </w:rPr>
        <w:t>1. 前端上傳音訊時提交 submission_id 與 lookup_token。</w:t>
      </w:r>
    </w:p>
    <w:p>
      <w:pPr>
        <w:ind w:left="425"/>
      </w:pPr>
      <w:r>
        <w:rPr>
          <w:rFonts w:ascii="新細明體" w:hAnsi="新細明體"/>
          <w:sz w:val="28"/>
        </w:rPr>
        <w:t>2. 後端驗證登入、ownership、token 與作答狀態。</w:t>
      </w:r>
    </w:p>
    <w:p>
      <w:pPr>
        <w:ind w:left="425"/>
      </w:pPr>
      <w:r>
        <w:rPr>
          <w:rFonts w:ascii="新細明體" w:hAnsi="新細明體"/>
          <w:sz w:val="28"/>
        </w:rPr>
        <w:t>3. 驗證失敗即刪除上傳檔；成功才回傳 audio_url。</w:t>
      </w:r>
    </w:p>
    <w:p>
      <w:pPr>
        <w:pStyle w:val="Heading1"/>
      </w:pPr>
      <w:r>
        <w:rPr>
          <w:rFonts w:ascii="標楷體" w:hAnsi="標楷體"/>
          <w:sz w:val="28"/>
        </w:rPr>
        <w:t>9. 功能需求（FR）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ID</w:t>
            </w:r>
          </w:p>
        </w:tc>
        <w:tc>
          <w:tcPr>
            <w:tcW w:type="dxa" w:w="5102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需求敘述</w:t>
            </w:r>
          </w:p>
        </w:tc>
        <w:tc>
          <w:tcPr>
            <w:tcW w:type="dxa" w:w="1134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優先級</w:t>
            </w:r>
          </w:p>
        </w:tc>
        <w:tc>
          <w:tcPr>
            <w:tcW w:type="dxa" w:w="1417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驗證方式</w:t>
            </w:r>
          </w:p>
        </w:tc>
      </w:tr>
      <w:tr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FR-001</w:t>
            </w:r>
          </w:p>
        </w:tc>
        <w:tc>
          <w:tcPr>
            <w:tcW w:type="dxa" w:w="5102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系統應提供管理者與學生帳號登入功能</w:t>
            </w:r>
          </w:p>
        </w:tc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高</w:t>
            </w:r>
          </w:p>
        </w:tc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API 測試</w:t>
            </w:r>
          </w:p>
        </w:tc>
      </w:tr>
      <w:tr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FR-002</w:t>
            </w:r>
          </w:p>
        </w:tc>
        <w:tc>
          <w:tcPr>
            <w:tcW w:type="dxa" w:w="5102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系統應提供登入 Session 驗證與登出機制</w:t>
            </w:r>
          </w:p>
        </w:tc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高</w:t>
            </w:r>
          </w:p>
        </w:tc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API 測試</w:t>
            </w:r>
          </w:p>
        </w:tc>
      </w:tr>
      <w:tr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FR-003</w:t>
            </w:r>
          </w:p>
        </w:tc>
        <w:tc>
          <w:tcPr>
            <w:tcW w:type="dxa" w:w="5102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系統應提供題目查詢/分頁/篩選</w:t>
            </w:r>
          </w:p>
        </w:tc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高</w:t>
            </w:r>
          </w:p>
        </w:tc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功能測試</w:t>
            </w:r>
          </w:p>
        </w:tc>
      </w:tr>
      <w:tr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FR-004</w:t>
            </w:r>
          </w:p>
        </w:tc>
        <w:tc>
          <w:tcPr>
            <w:tcW w:type="dxa" w:w="5102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系統應支援題目新增、修改、刪除</w:t>
            </w:r>
          </w:p>
        </w:tc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高</w:t>
            </w:r>
          </w:p>
        </w:tc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功能測試</w:t>
            </w:r>
          </w:p>
        </w:tc>
      </w:tr>
      <w:tr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FR-005</w:t>
            </w:r>
          </w:p>
        </w:tc>
        <w:tc>
          <w:tcPr>
            <w:tcW w:type="dxa" w:w="5102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系統應支援題目批次匯入</w:t>
            </w:r>
          </w:p>
        </w:tc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中</w:t>
            </w:r>
          </w:p>
        </w:tc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功能測試</w:t>
            </w:r>
          </w:p>
        </w:tc>
      </w:tr>
      <w:tr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FR-006</w:t>
            </w:r>
          </w:p>
        </w:tc>
        <w:tc>
          <w:tcPr>
            <w:tcW w:type="dxa" w:w="5102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系統應支援試卷建立、修改、刪除</w:t>
            </w:r>
          </w:p>
        </w:tc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高</w:t>
            </w:r>
          </w:p>
        </w:tc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功能測試</w:t>
            </w:r>
          </w:p>
        </w:tc>
      </w:tr>
      <w:tr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FR-007</w:t>
            </w:r>
          </w:p>
        </w:tc>
        <w:tc>
          <w:tcPr>
            <w:tcW w:type="dxa" w:w="5102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系統應支援試卷題目配分與排序</w:t>
            </w:r>
          </w:p>
        </w:tc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高</w:t>
            </w:r>
          </w:p>
        </w:tc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功能測試</w:t>
            </w:r>
          </w:p>
        </w:tc>
      </w:tr>
      <w:tr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FR-008</w:t>
            </w:r>
          </w:p>
        </w:tc>
        <w:tc>
          <w:tcPr>
            <w:tcW w:type="dxa" w:w="5102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系統應支援 draft/active/closed 狀態控管</w:t>
            </w:r>
          </w:p>
        </w:tc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高</w:t>
            </w:r>
          </w:p>
        </w:tc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功能測試</w:t>
            </w:r>
          </w:p>
        </w:tc>
      </w:tr>
      <w:tr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FR-009</w:t>
            </w:r>
          </w:p>
        </w:tc>
        <w:tc>
          <w:tcPr>
            <w:tcW w:type="dxa" w:w="5102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系統應支援試卷時間窗、存取碼、作答次數限制</w:t>
            </w:r>
          </w:p>
        </w:tc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高</w:t>
            </w:r>
          </w:p>
        </w:tc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功能測試</w:t>
            </w:r>
          </w:p>
        </w:tc>
      </w:tr>
      <w:tr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FR-010</w:t>
            </w:r>
          </w:p>
        </w:tc>
        <w:tc>
          <w:tcPr>
            <w:tcW w:type="dxa" w:w="5102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學生取題 API 不得回傳正解</w:t>
            </w:r>
          </w:p>
        </w:tc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高</w:t>
            </w:r>
          </w:p>
        </w:tc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API 檢查</w:t>
            </w:r>
          </w:p>
        </w:tc>
      </w:tr>
      <w:tr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FR-011</w:t>
            </w:r>
          </w:p>
        </w:tc>
        <w:tc>
          <w:tcPr>
            <w:tcW w:type="dxa" w:w="5102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系統應支援作答進度儲存與續作</w:t>
            </w:r>
          </w:p>
        </w:tc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高</w:t>
            </w:r>
          </w:p>
        </w:tc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整合測試</w:t>
            </w:r>
          </w:p>
        </w:tc>
      </w:tr>
      <w:tr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FR-012</w:t>
            </w:r>
          </w:p>
        </w:tc>
        <w:tc>
          <w:tcPr>
            <w:tcW w:type="dxa" w:w="5102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系統應支援交卷後自動評分</w:t>
            </w:r>
          </w:p>
        </w:tc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高</w:t>
            </w:r>
          </w:p>
        </w:tc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整合測試</w:t>
            </w:r>
          </w:p>
        </w:tc>
      </w:tr>
      <w:tr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FR-013</w:t>
            </w:r>
          </w:p>
        </w:tc>
        <w:tc>
          <w:tcPr>
            <w:tcW w:type="dxa" w:w="5102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系統應記錄每題作答明細與得分</w:t>
            </w:r>
          </w:p>
        </w:tc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高</w:t>
            </w:r>
          </w:p>
        </w:tc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DB 驗證</w:t>
            </w:r>
          </w:p>
        </w:tc>
      </w:tr>
      <w:tr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FR-014</w:t>
            </w:r>
          </w:p>
        </w:tc>
        <w:tc>
          <w:tcPr>
            <w:tcW w:type="dxa" w:w="5102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系統應支援寫作與口說人工批改</w:t>
            </w:r>
          </w:p>
        </w:tc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高</w:t>
            </w:r>
          </w:p>
        </w:tc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功能測試</w:t>
            </w:r>
          </w:p>
        </w:tc>
      </w:tr>
      <w:tr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FR-015</w:t>
            </w:r>
          </w:p>
        </w:tc>
        <w:tc>
          <w:tcPr>
            <w:tcW w:type="dxa" w:w="5102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系統應提供單次成績查詢與分析報告</w:t>
            </w:r>
          </w:p>
        </w:tc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高</w:t>
            </w:r>
          </w:p>
        </w:tc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功能測試</w:t>
            </w:r>
          </w:p>
        </w:tc>
      </w:tr>
      <w:tr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FR-016</w:t>
            </w:r>
          </w:p>
        </w:tc>
        <w:tc>
          <w:tcPr>
            <w:tcW w:type="dxa" w:w="5102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系統應提供試卷統計與題目品質分析</w:t>
            </w:r>
          </w:p>
        </w:tc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中</w:t>
            </w:r>
          </w:p>
        </w:tc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功能測試</w:t>
            </w:r>
          </w:p>
        </w:tc>
      </w:tr>
      <w:tr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FR-017</w:t>
            </w:r>
          </w:p>
        </w:tc>
        <w:tc>
          <w:tcPr>
            <w:tcW w:type="dxa" w:w="5102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系統應提供學生能力分析</w:t>
            </w:r>
          </w:p>
        </w:tc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中</w:t>
            </w:r>
          </w:p>
        </w:tc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功能測試</w:t>
            </w:r>
          </w:p>
        </w:tc>
      </w:tr>
      <w:tr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FR-018</w:t>
            </w:r>
          </w:p>
        </w:tc>
        <w:tc>
          <w:tcPr>
            <w:tcW w:type="dxa" w:w="5102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系統應提供個人化推薦題目</w:t>
            </w:r>
          </w:p>
        </w:tc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中</w:t>
            </w:r>
          </w:p>
        </w:tc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功能測試</w:t>
            </w:r>
          </w:p>
        </w:tc>
      </w:tr>
      <w:tr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FR-019</w:t>
            </w:r>
          </w:p>
        </w:tc>
        <w:tc>
          <w:tcPr>
            <w:tcW w:type="dxa" w:w="5102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系統應支援 AI 產題預覽與入庫</w:t>
            </w:r>
          </w:p>
        </w:tc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中</w:t>
            </w:r>
          </w:p>
        </w:tc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功能測試</w:t>
            </w:r>
          </w:p>
        </w:tc>
      </w:tr>
      <w:tr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FR-020</w:t>
            </w:r>
          </w:p>
        </w:tc>
        <w:tc>
          <w:tcPr>
            <w:tcW w:type="dxa" w:w="5102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系統應支援音訊與圖片上傳</w:t>
            </w:r>
          </w:p>
        </w:tc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中</w:t>
            </w:r>
          </w:p>
        </w:tc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功能測試</w:t>
            </w:r>
          </w:p>
        </w:tc>
      </w:tr>
      <w:tr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FR-021</w:t>
            </w:r>
          </w:p>
        </w:tc>
        <w:tc>
          <w:tcPr>
            <w:tcW w:type="dxa" w:w="5102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音訊上傳應綁定有效作答與學生 ownership</w:t>
            </w:r>
          </w:p>
        </w:tc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高</w:t>
            </w:r>
          </w:p>
        </w:tc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API 測試</w:t>
            </w:r>
          </w:p>
        </w:tc>
      </w:tr>
      <w:tr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FR-022</w:t>
            </w:r>
          </w:p>
        </w:tc>
        <w:tc>
          <w:tcPr>
            <w:tcW w:type="dxa" w:w="5102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系統應提供匯出功能（題庫/試卷統計）</w:t>
            </w:r>
          </w:p>
        </w:tc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低</w:t>
            </w:r>
          </w:p>
        </w:tc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功能測試</w:t>
            </w:r>
          </w:p>
        </w:tc>
      </w:tr>
    </w:tbl>
    <w:p>
      <w:pPr>
        <w:pStyle w:val="Heading1"/>
      </w:pPr>
      <w:r>
        <w:rPr>
          <w:rFonts w:ascii="標楷體" w:hAnsi="標楷體"/>
          <w:sz w:val="28"/>
        </w:rPr>
        <w:t>10. 非功能需求（NFR）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ID</w:t>
            </w:r>
          </w:p>
        </w:tc>
        <w:tc>
          <w:tcPr>
            <w:tcW w:type="dxa" w:w="1701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類別</w:t>
            </w:r>
          </w:p>
        </w:tc>
        <w:tc>
          <w:tcPr>
            <w:tcW w:type="dxa" w:w="4535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需求敘述</w:t>
            </w:r>
          </w:p>
        </w:tc>
        <w:tc>
          <w:tcPr>
            <w:tcW w:type="dxa" w:w="1417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驗證方式</w:t>
            </w:r>
          </w:p>
        </w:tc>
      </w:tr>
      <w:tr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NFR-001</w:t>
            </w:r>
          </w:p>
        </w:tc>
        <w:tc>
          <w:tcPr>
            <w:tcW w:type="dxa" w:w="1701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效能</w:t>
            </w:r>
          </w:p>
        </w:tc>
        <w:tc>
          <w:tcPr>
            <w:tcW w:type="dxa" w:w="4535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一般 API 需支援每分鐘 200 次全域請求限制</w:t>
            </w:r>
          </w:p>
        </w:tc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壓測/設定檢查</w:t>
            </w:r>
          </w:p>
        </w:tc>
      </w:tr>
      <w:tr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NFR-002</w:t>
            </w:r>
          </w:p>
        </w:tc>
        <w:tc>
          <w:tcPr>
            <w:tcW w:type="dxa" w:w="1701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安全</w:t>
            </w:r>
          </w:p>
        </w:tc>
        <w:tc>
          <w:tcPr>
            <w:tcW w:type="dxa" w:w="4535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登入應有專用 rate limiter（IP + 帳號維度）</w:t>
            </w:r>
          </w:p>
        </w:tc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API 測試</w:t>
            </w:r>
          </w:p>
        </w:tc>
      </w:tr>
      <w:tr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NFR-003</w:t>
            </w:r>
          </w:p>
        </w:tc>
        <w:tc>
          <w:tcPr>
            <w:tcW w:type="dxa" w:w="1701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安全</w:t>
            </w:r>
          </w:p>
        </w:tc>
        <w:tc>
          <w:tcPr>
            <w:tcW w:type="dxa" w:w="4535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密碼需使用強雜湊與 salt 儲存（scrypt-v1）</w:t>
            </w:r>
          </w:p>
        </w:tc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程式/DB 檢查</w:t>
            </w:r>
          </w:p>
        </w:tc>
      </w:tr>
      <w:tr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NFR-004</w:t>
            </w:r>
          </w:p>
        </w:tc>
        <w:tc>
          <w:tcPr>
            <w:tcW w:type="dxa" w:w="1701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安全</w:t>
            </w:r>
          </w:p>
        </w:tc>
        <w:tc>
          <w:tcPr>
            <w:tcW w:type="dxa" w:w="4535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管理/學生 API 需做 Session 授權</w:t>
            </w:r>
          </w:p>
        </w:tc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API 測試</w:t>
            </w:r>
          </w:p>
        </w:tc>
      </w:tr>
      <w:tr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NFR-005</w:t>
            </w:r>
          </w:p>
        </w:tc>
        <w:tc>
          <w:tcPr>
            <w:tcW w:type="dxa" w:w="1701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安全</w:t>
            </w:r>
          </w:p>
        </w:tc>
        <w:tc>
          <w:tcPr>
            <w:tcW w:type="dxa" w:w="4535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學生端不得透過 API 取得題目正解</w:t>
            </w:r>
          </w:p>
        </w:tc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API 測試</w:t>
            </w:r>
          </w:p>
        </w:tc>
      </w:tr>
      <w:tr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NFR-006</w:t>
            </w:r>
          </w:p>
        </w:tc>
        <w:tc>
          <w:tcPr>
            <w:tcW w:type="dxa" w:w="1701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安全</w:t>
            </w:r>
          </w:p>
        </w:tc>
        <w:tc>
          <w:tcPr>
            <w:tcW w:type="dxa" w:w="4535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上傳須限制類型與大小，授權失敗須拒絕</w:t>
            </w:r>
          </w:p>
        </w:tc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API 測試</w:t>
            </w:r>
          </w:p>
        </w:tc>
      </w:tr>
      <w:tr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NFR-007</w:t>
            </w:r>
          </w:p>
        </w:tc>
        <w:tc>
          <w:tcPr>
            <w:tcW w:type="dxa" w:w="1701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資料完整性</w:t>
            </w:r>
          </w:p>
        </w:tc>
        <w:tc>
          <w:tcPr>
            <w:tcW w:type="dxa" w:w="4535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作答 ownership 欄位需受 DB 約束（FK/NOT NULL/CHECK）</w:t>
            </w:r>
          </w:p>
        </w:tc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DB Schema 檢查</w:t>
            </w:r>
          </w:p>
        </w:tc>
      </w:tr>
      <w:tr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NFR-008</w:t>
            </w:r>
          </w:p>
        </w:tc>
        <w:tc>
          <w:tcPr>
            <w:tcW w:type="dxa" w:w="1701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可維護性</w:t>
            </w:r>
          </w:p>
        </w:tc>
        <w:tc>
          <w:tcPr>
            <w:tcW w:type="dxa" w:w="4535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Schema 變更需透過 migration 並具向後相容策略</w:t>
            </w:r>
          </w:p>
        </w:tc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稽核</w:t>
            </w:r>
          </w:p>
        </w:tc>
      </w:tr>
      <w:tr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NFR-009</w:t>
            </w:r>
          </w:p>
        </w:tc>
        <w:tc>
          <w:tcPr>
            <w:tcW w:type="dxa" w:w="1701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可維護性</w:t>
            </w:r>
          </w:p>
        </w:tc>
        <w:tc>
          <w:tcPr>
            <w:tcW w:type="dxa" w:w="4535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文件需與程式版本同步維護</w:t>
            </w:r>
          </w:p>
        </w:tc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文件審查</w:t>
            </w:r>
          </w:p>
        </w:tc>
      </w:tr>
      <w:tr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NFR-010</w:t>
            </w:r>
          </w:p>
        </w:tc>
        <w:tc>
          <w:tcPr>
            <w:tcW w:type="dxa" w:w="1701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可用性</w:t>
            </w:r>
          </w:p>
        </w:tc>
        <w:tc>
          <w:tcPr>
            <w:tcW w:type="dxa" w:w="4535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主要流程（登入、取卷、作答、交卷）可操作且可恢復</w:t>
            </w:r>
          </w:p>
        </w:tc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UAT</w:t>
            </w:r>
          </w:p>
        </w:tc>
      </w:tr>
    </w:tbl>
    <w:p>
      <w:pPr>
        <w:pStyle w:val="Heading1"/>
      </w:pPr>
      <w:r>
        <w:rPr>
          <w:rFonts w:ascii="標楷體" w:hAnsi="標楷體"/>
          <w:sz w:val="28"/>
        </w:rPr>
        <w:t>11. 資料需求與完整性約束（DCR）</w:t>
      </w:r>
    </w:p>
    <w:p>
      <w:pPr>
        <w:pStyle w:val="Heading2"/>
      </w:pPr>
      <w:r>
        <w:rPr>
          <w:rFonts w:ascii="標楷體" w:hAnsi="標楷體"/>
          <w:sz w:val="28"/>
        </w:rPr>
        <w:t>11.1 核心實體</w:t>
      </w:r>
    </w:p>
    <w:p>
      <w:pPr>
        <w:ind w:left="425"/>
      </w:pPr>
      <w:r>
        <w:rPr>
          <w:rFonts w:ascii="新細明體" w:hAnsi="新細明體"/>
          <w:sz w:val="28"/>
        </w:rPr>
        <w:t>students</w:t>
      </w:r>
    </w:p>
    <w:p>
      <w:pPr>
        <w:ind w:left="425"/>
      </w:pPr>
      <w:r>
        <w:rPr>
          <w:rFonts w:ascii="新細明體" w:hAnsi="新細明體"/>
          <w:sz w:val="28"/>
        </w:rPr>
        <w:t>student_sessions</w:t>
      </w:r>
    </w:p>
    <w:p>
      <w:pPr>
        <w:ind w:left="425"/>
      </w:pPr>
      <w:r>
        <w:rPr>
          <w:rFonts w:ascii="新細明體" w:hAnsi="新細明體"/>
          <w:sz w:val="28"/>
        </w:rPr>
        <w:t>questions</w:t>
      </w:r>
    </w:p>
    <w:p>
      <w:pPr>
        <w:ind w:left="425"/>
      </w:pPr>
      <w:r>
        <w:rPr>
          <w:rFonts w:ascii="新細明體" w:hAnsi="新細明體"/>
          <w:sz w:val="28"/>
        </w:rPr>
        <w:t>exams</w:t>
      </w:r>
    </w:p>
    <w:p>
      <w:pPr>
        <w:ind w:left="425"/>
      </w:pPr>
      <w:r>
        <w:rPr>
          <w:rFonts w:ascii="新細明體" w:hAnsi="新細明體"/>
          <w:sz w:val="28"/>
        </w:rPr>
        <w:t>exam_questions</w:t>
      </w:r>
    </w:p>
    <w:p>
      <w:pPr>
        <w:ind w:left="425"/>
      </w:pPr>
      <w:r>
        <w:rPr>
          <w:rFonts w:ascii="新細明體" w:hAnsi="新細明體"/>
          <w:sz w:val="28"/>
        </w:rPr>
        <w:t>submissions</w:t>
      </w:r>
    </w:p>
    <w:p>
      <w:pPr>
        <w:ind w:left="425"/>
      </w:pPr>
      <w:r>
        <w:rPr>
          <w:rFonts w:ascii="新細明體" w:hAnsi="新細明體"/>
          <w:sz w:val="28"/>
        </w:rPr>
        <w:t>answer_details</w:t>
      </w:r>
    </w:p>
    <w:p>
      <w:pPr>
        <w:pStyle w:val="Heading2"/>
      </w:pPr>
      <w:r>
        <w:rPr>
          <w:rFonts w:ascii="標楷體" w:hAnsi="標楷體"/>
          <w:sz w:val="28"/>
        </w:rPr>
        <w:t>11.2 資料完整性規則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17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ID</w:t>
            </w:r>
          </w:p>
        </w:tc>
        <w:tc>
          <w:tcPr>
            <w:tcW w:type="dxa" w:w="7370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規則</w:t>
            </w:r>
          </w:p>
        </w:tc>
      </w:tr>
      <w:tr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DCR-001</w:t>
            </w:r>
          </w:p>
        </w:tc>
        <w:tc>
          <w:tcPr>
            <w:tcW w:type="dxa" w:w="737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students.username 必須唯一</w:t>
            </w:r>
          </w:p>
        </w:tc>
      </w:tr>
      <w:tr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DCR-002</w:t>
            </w:r>
          </w:p>
        </w:tc>
        <w:tc>
          <w:tcPr>
            <w:tcW w:type="dxa" w:w="737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students.student_id 非空值必須唯一（partial unique index）</w:t>
            </w:r>
          </w:p>
        </w:tc>
      </w:tr>
      <w:tr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DCR-003</w:t>
            </w:r>
          </w:p>
        </w:tc>
        <w:tc>
          <w:tcPr>
            <w:tcW w:type="dxa" w:w="737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student_sessions.student_account_id 必須 NOT NULL 且 FK 到 students(id)</w:t>
            </w:r>
          </w:p>
        </w:tc>
      </w:tr>
      <w:tr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DCR-004</w:t>
            </w:r>
          </w:p>
        </w:tc>
        <w:tc>
          <w:tcPr>
            <w:tcW w:type="dxa" w:w="737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submissions.student_account_id 必須 NOT NULL 且 FK 到 students(id)</w:t>
            </w:r>
          </w:p>
        </w:tc>
      </w:tr>
      <w:tr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DCR-005</w:t>
            </w:r>
          </w:p>
        </w:tc>
        <w:tc>
          <w:tcPr>
            <w:tcW w:type="dxa" w:w="737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submissions.student_session_id 為 FK 到 student_sessions(id)，刪 session 時設 NULL</w:t>
            </w:r>
          </w:p>
        </w:tc>
      </w:tr>
      <w:tr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DCR-006</w:t>
            </w:r>
          </w:p>
        </w:tc>
        <w:tc>
          <w:tcPr>
            <w:tcW w:type="dxa" w:w="737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submissions.status 僅允許 'in_progress'/'submitted'</w:t>
            </w:r>
          </w:p>
        </w:tc>
      </w:tr>
      <w:tr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DCR-007</w:t>
            </w:r>
          </w:p>
        </w:tc>
        <w:tc>
          <w:tcPr>
            <w:tcW w:type="dxa" w:w="737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answer_details.submission_id 刪 submission 時需 cascade 刪除</w:t>
            </w:r>
          </w:p>
        </w:tc>
      </w:tr>
    </w:tbl>
    <w:p/>
    <w:p>
      <w:pPr>
        <w:pStyle w:val="Heading2"/>
      </w:pPr>
      <w:r>
        <w:rPr>
          <w:rFonts w:ascii="標楷體" w:hAnsi="標楷體"/>
          <w:sz w:val="28"/>
        </w:rPr>
        <w:t>11.3 資料修復政策</w:t>
      </w:r>
    </w:p>
    <w:p>
      <w:pPr>
        <w:ind w:left="425"/>
      </w:pPr>
      <w:r>
        <w:rPr>
          <w:rFonts w:ascii="新細明體" w:hAnsi="新細明體"/>
          <w:sz w:val="28"/>
        </w:rPr>
        <w:t>若 migration 遇到不合法歷史資料，需先資料修復後再套用嚴格約束。</w:t>
      </w:r>
    </w:p>
    <w:p>
      <w:pPr>
        <w:ind w:left="425"/>
      </w:pPr>
      <w:r>
        <w:rPr>
          <w:rFonts w:ascii="新細明體" w:hAnsi="新細明體"/>
          <w:sz w:val="28"/>
        </w:rPr>
        <w:t>所有資料修復需有備份、腳本與執行紀錄。</w:t>
      </w:r>
    </w:p>
    <w:p>
      <w:pPr>
        <w:pStyle w:val="Heading1"/>
      </w:pPr>
      <w:r>
        <w:rPr>
          <w:rFonts w:ascii="標楷體" w:hAnsi="標楷體"/>
          <w:sz w:val="28"/>
        </w:rPr>
        <w:t>12. 業務規則（BR）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17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ID</w:t>
            </w:r>
          </w:p>
        </w:tc>
        <w:tc>
          <w:tcPr>
            <w:tcW w:type="dxa" w:w="7370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規則內容</w:t>
            </w:r>
          </w:p>
        </w:tc>
      </w:tr>
      <w:tr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BR-001</w:t>
            </w:r>
          </w:p>
        </w:tc>
        <w:tc>
          <w:tcPr>
            <w:tcW w:type="dxa" w:w="737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題型僅允許系統定義集合（含 GEPT 題型）</w:t>
            </w:r>
          </w:p>
        </w:tc>
      </w:tr>
      <w:tr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BR-002</w:t>
            </w:r>
          </w:p>
        </w:tc>
        <w:tc>
          <w:tcPr>
            <w:tcW w:type="dxa" w:w="737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難度範圍為 1～5</w:t>
            </w:r>
          </w:p>
        </w:tc>
      </w:tr>
      <w:tr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BR-003</w:t>
            </w:r>
          </w:p>
        </w:tc>
        <w:tc>
          <w:tcPr>
            <w:tcW w:type="dxa" w:w="737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試卷狀態僅允許 'draft' / 'active' / 'closed'</w:t>
            </w:r>
          </w:p>
        </w:tc>
      </w:tr>
      <w:tr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BR-004</w:t>
            </w:r>
          </w:p>
        </w:tc>
        <w:tc>
          <w:tcPr>
            <w:tcW w:type="dxa" w:w="737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只有 active 且通過可用性條件之試卷可作答</w:t>
            </w:r>
          </w:p>
        </w:tc>
      </w:tr>
      <w:tr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BR-005</w:t>
            </w:r>
          </w:p>
        </w:tc>
        <w:tc>
          <w:tcPr>
            <w:tcW w:type="dxa" w:w="737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寫作與口說題需人工批改或 AI 輔助評分</w:t>
            </w:r>
          </w:p>
        </w:tc>
      </w:tr>
      <w:tr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BR-006</w:t>
            </w:r>
          </w:p>
        </w:tc>
        <w:tc>
          <w:tcPr>
            <w:tcW w:type="dxa" w:w="737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cloze 題以 '|' 分隔逐格比對</w:t>
            </w:r>
          </w:p>
        </w:tc>
      </w:tr>
      <w:tr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BR-007</w:t>
            </w:r>
          </w:p>
        </w:tc>
        <w:tc>
          <w:tcPr>
            <w:tcW w:type="dxa" w:w="737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'__dont_know__' 視為不會，該題不計分並累加統計</w:t>
            </w:r>
          </w:p>
        </w:tc>
      </w:tr>
      <w:tr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BR-008</w:t>
            </w:r>
          </w:p>
        </w:tc>
        <w:tc>
          <w:tcPr>
            <w:tcW w:type="dxa" w:w="737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作答 ownership 以 student_account_id 為主，不接受姓名/學號 fallback</w:t>
            </w:r>
          </w:p>
        </w:tc>
      </w:tr>
      <w:tr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BR-009</w:t>
            </w:r>
          </w:p>
        </w:tc>
        <w:tc>
          <w:tcPr>
            <w:tcW w:type="dxa" w:w="737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推薦與學生作答查詢僅能讀取當前登入學生 ownership</w:t>
            </w:r>
          </w:p>
        </w:tc>
      </w:tr>
      <w:tr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BR-010</w:t>
            </w:r>
          </w:p>
        </w:tc>
        <w:tc>
          <w:tcPr>
            <w:tcW w:type="dxa" w:w="737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音訊上傳需綁定 submission_id + lookup_token + ownership</w:t>
            </w:r>
          </w:p>
        </w:tc>
      </w:tr>
    </w:tbl>
    <w:p>
      <w:pPr>
        <w:pStyle w:val="Heading1"/>
      </w:pPr>
      <w:r>
        <w:rPr>
          <w:rFonts w:ascii="標楷體" w:hAnsi="標楷體"/>
          <w:sz w:val="28"/>
        </w:rPr>
        <w:t>13. 需求追溯矩陣（RTM）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需求 ID</w:t>
            </w:r>
          </w:p>
        </w:tc>
        <w:tc>
          <w:tcPr>
            <w:tcW w:type="dxa" w:w="1417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業務目標</w:t>
            </w:r>
          </w:p>
        </w:tc>
        <w:tc>
          <w:tcPr>
            <w:tcW w:type="dxa" w:w="2268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設計/程式模組</w:t>
            </w:r>
          </w:p>
        </w:tc>
        <w:tc>
          <w:tcPr>
            <w:tcW w:type="dxa" w:w="2551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測試對應</w:t>
            </w:r>
          </w:p>
        </w:tc>
        <w:tc>
          <w:tcPr>
            <w:tcW w:type="dxa" w:w="1134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狀態</w:t>
            </w:r>
          </w:p>
        </w:tc>
      </w:tr>
      <w:tr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FR-001</w:t>
            </w:r>
          </w:p>
        </w:tc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BG-03</w:t>
            </w:r>
          </w:p>
        </w:tc>
        <w:tc>
          <w:tcPr>
            <w:tcW w:type="dxa" w:w="226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server.js 登入路由</w:t>
            </w:r>
          </w:p>
        </w:tc>
        <w:tc>
          <w:tcPr>
            <w:tcW w:type="dxa" w:w="2551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登入 API 測試</w:t>
            </w:r>
          </w:p>
        </w:tc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已實作</w:t>
            </w:r>
          </w:p>
        </w:tc>
      </w:tr>
      <w:tr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FR-010</w:t>
            </w:r>
          </w:p>
        </w:tc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BG-03</w:t>
            </w:r>
          </w:p>
        </w:tc>
        <w:tc>
          <w:tcPr>
            <w:tcW w:type="dxa" w:w="226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公開取題 API 投影</w:t>
            </w:r>
          </w:p>
        </w:tc>
        <w:tc>
          <w:tcPr>
            <w:tcW w:type="dxa" w:w="2551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學生端取題不含答案測試</w:t>
            </w:r>
          </w:p>
        </w:tc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已實作</w:t>
            </w:r>
          </w:p>
        </w:tc>
      </w:tr>
      <w:tr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FR-011</w:t>
            </w:r>
          </w:p>
        </w:tc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BG-02</w:t>
            </w:r>
          </w:p>
        </w:tc>
        <w:tc>
          <w:tcPr>
            <w:tcW w:type="dxa" w:w="226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作答 Session/進度 API</w:t>
            </w:r>
          </w:p>
        </w:tc>
        <w:tc>
          <w:tcPr>
            <w:tcW w:type="dxa" w:w="2551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續作與進度保存測試</w:t>
            </w:r>
          </w:p>
        </w:tc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已實作</w:t>
            </w:r>
          </w:p>
        </w:tc>
      </w:tr>
      <w:tr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FR-021</w:t>
            </w:r>
          </w:p>
        </w:tc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BG-03</w:t>
            </w:r>
          </w:p>
        </w:tc>
        <w:tc>
          <w:tcPr>
            <w:tcW w:type="dxa" w:w="226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audio/upload 授權檢核</w:t>
            </w:r>
          </w:p>
        </w:tc>
        <w:tc>
          <w:tcPr>
            <w:tcW w:type="dxa" w:w="2551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上傳授權/ownership 測試</w:t>
            </w:r>
          </w:p>
        </w:tc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已實作</w:t>
            </w:r>
          </w:p>
        </w:tc>
      </w:tr>
      <w:tr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NFR-003</w:t>
            </w:r>
          </w:p>
        </w:tc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BG-03</w:t>
            </w:r>
          </w:p>
        </w:tc>
        <w:tc>
          <w:tcPr>
            <w:tcW w:type="dxa" w:w="226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密碼雜湊策略</w:t>
            </w:r>
          </w:p>
        </w:tc>
        <w:tc>
          <w:tcPr>
            <w:tcW w:type="dxa" w:w="2551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雜湊格式與登入相容測試</w:t>
            </w:r>
          </w:p>
        </w:tc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已實作</w:t>
            </w:r>
          </w:p>
        </w:tc>
      </w:tr>
      <w:tr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DCR-003</w:t>
            </w:r>
          </w:p>
        </w:tc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BG-03</w:t>
            </w:r>
          </w:p>
        </w:tc>
        <w:tc>
          <w:tcPr>
            <w:tcW w:type="dxa" w:w="226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database.js migration</w:t>
            </w:r>
          </w:p>
        </w:tc>
        <w:tc>
          <w:tcPr>
            <w:tcW w:type="dxa" w:w="2551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Schema 稽核</w:t>
            </w:r>
          </w:p>
        </w:tc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已實作</w:t>
            </w:r>
          </w:p>
        </w:tc>
      </w:tr>
      <w:tr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DCR-004</w:t>
            </w:r>
          </w:p>
        </w:tc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BG-03</w:t>
            </w:r>
          </w:p>
        </w:tc>
        <w:tc>
          <w:tcPr>
            <w:tcW w:type="dxa" w:w="226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database.js migration</w:t>
            </w:r>
          </w:p>
        </w:tc>
        <w:tc>
          <w:tcPr>
            <w:tcW w:type="dxa" w:w="2551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Schema 稽核</w:t>
            </w:r>
          </w:p>
        </w:tc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已實作</w:t>
            </w:r>
          </w:p>
        </w:tc>
      </w:tr>
    </w:tbl>
    <w:p>
      <w:pPr>
        <w:pStyle w:val="Heading1"/>
      </w:pPr>
      <w:r>
        <w:rPr>
          <w:rFonts w:ascii="標楷體" w:hAnsi="標楷體"/>
          <w:sz w:val="28"/>
        </w:rPr>
        <w:t>14. 驗證與確認策略（VER/VAL）</w:t>
      </w:r>
    </w:p>
    <w:p>
      <w:pPr>
        <w:pStyle w:val="Heading2"/>
      </w:pPr>
      <w:r>
        <w:rPr>
          <w:rFonts w:ascii="標楷體" w:hAnsi="標楷體"/>
          <w:sz w:val="28"/>
        </w:rPr>
        <w:t>14.1 Verification（建置正確）</w:t>
      </w:r>
    </w:p>
    <w:p>
      <w:pPr>
        <w:ind w:left="425"/>
      </w:pPr>
      <w:r>
        <w:rPr>
          <w:rFonts w:ascii="新細明體" w:hAnsi="新細明體"/>
          <w:sz w:val="28"/>
        </w:rPr>
        <w:t>需求審查：完整性、一致性、可測試性。</w:t>
      </w:r>
    </w:p>
    <w:p>
      <w:pPr>
        <w:ind w:left="425"/>
      </w:pPr>
      <w:r>
        <w:rPr>
          <w:rFonts w:ascii="新細明體" w:hAnsi="新細明體"/>
          <w:sz w:val="28"/>
        </w:rPr>
        <w:t>設計審查：需求對應、介面定義、資料約束一致。</w:t>
      </w:r>
    </w:p>
    <w:p>
      <w:pPr>
        <w:ind w:left="425"/>
      </w:pPr>
      <w:r>
        <w:rPr>
          <w:rFonts w:ascii="新細明體" w:hAnsi="新細明體"/>
          <w:sz w:val="28"/>
        </w:rPr>
        <w:t>程式檢查：lint/語法、關鍵路由權限與資料流程。</w:t>
      </w:r>
    </w:p>
    <w:p>
      <w:pPr>
        <w:ind w:left="425"/>
      </w:pPr>
      <w:r>
        <w:rPr>
          <w:rFonts w:ascii="新細明體" w:hAnsi="新細明體"/>
          <w:sz w:val="28"/>
        </w:rPr>
        <w:t>測試執行：smoke、整合、回歸與資安檢核。</w:t>
      </w:r>
    </w:p>
    <w:p>
      <w:pPr>
        <w:pStyle w:val="Heading2"/>
      </w:pPr>
      <w:r>
        <w:rPr>
          <w:rFonts w:ascii="標楷體" w:hAnsi="標楷體"/>
          <w:sz w:val="28"/>
        </w:rPr>
        <w:t>14.2 Validation（做對的產品）</w:t>
      </w:r>
    </w:p>
    <w:p>
      <w:pPr>
        <w:spacing w:before="100" w:after="100"/>
      </w:pPr>
      <w:r>
        <w:rPr>
          <w:rFonts w:ascii="新細明體" w:hAnsi="新細明體"/>
          <w:sz w:val="28"/>
        </w:rPr>
        <w:t>由 PO/SME 依使用情境執行 UAT：</w:t>
      </w:r>
    </w:p>
    <w:p>
      <w:pPr>
        <w:ind w:left="425"/>
      </w:pPr>
      <w:r>
        <w:rPr>
          <w:rFonts w:ascii="新細明體" w:hAnsi="新細明體"/>
          <w:sz w:val="28"/>
        </w:rPr>
        <w:t>1. 登入與權限</w:t>
      </w:r>
    </w:p>
    <w:p>
      <w:pPr>
        <w:ind w:left="425"/>
      </w:pPr>
      <w:r>
        <w:rPr>
          <w:rFonts w:ascii="新細明體" w:hAnsi="新細明體"/>
          <w:sz w:val="28"/>
        </w:rPr>
        <w:t>2. 出題與建卷</w:t>
      </w:r>
    </w:p>
    <w:p>
      <w:pPr>
        <w:ind w:left="425"/>
      </w:pPr>
      <w:r>
        <w:rPr>
          <w:rFonts w:ascii="新細明體" w:hAnsi="新細明體"/>
          <w:sz w:val="28"/>
        </w:rPr>
        <w:t>3. 學生作答與交卷</w:t>
      </w:r>
    </w:p>
    <w:p>
      <w:pPr>
        <w:ind w:left="425"/>
      </w:pPr>
      <w:r>
        <w:rPr>
          <w:rFonts w:ascii="新細明體" w:hAnsi="新細明體"/>
          <w:sz w:val="28"/>
        </w:rPr>
        <w:t>4. 批改與分析</w:t>
      </w:r>
    </w:p>
    <w:p>
      <w:pPr>
        <w:ind w:left="425"/>
      </w:pPr>
      <w:r>
        <w:rPr>
          <w:rFonts w:ascii="新細明體" w:hAnsi="新細明體"/>
          <w:sz w:val="28"/>
        </w:rPr>
        <w:t>5. 異常情境（錯誤 token、越權、超次數）</w:t>
      </w:r>
    </w:p>
    <w:p>
      <w:pPr>
        <w:pStyle w:val="Heading2"/>
      </w:pPr>
      <w:r>
        <w:rPr>
          <w:rFonts w:ascii="標楷體" w:hAnsi="標楷體"/>
          <w:sz w:val="28"/>
        </w:rPr>
        <w:t>14.3 驗收退出準則</w:t>
      </w:r>
    </w:p>
    <w:p>
      <w:pPr>
        <w:ind w:left="425"/>
      </w:pPr>
      <w:r>
        <w:rPr>
          <w:rFonts w:ascii="新細明體" w:hAnsi="新細明體"/>
          <w:sz w:val="28"/>
        </w:rPr>
        <w:t>高風險缺陷（資安/權限/資料毀損）為 0。</w:t>
      </w:r>
    </w:p>
    <w:p>
      <w:pPr>
        <w:ind w:left="425"/>
      </w:pPr>
      <w:r>
        <w:rPr>
          <w:rFonts w:ascii="新細明體" w:hAnsi="新細明體"/>
          <w:sz w:val="28"/>
        </w:rPr>
        <w:t>主要流程測試通過率 100%。</w:t>
      </w:r>
    </w:p>
    <w:p>
      <w:pPr>
        <w:ind w:left="425"/>
      </w:pPr>
      <w:r>
        <w:rPr>
          <w:rFonts w:ascii="新細明體" w:hAnsi="新細明體"/>
          <w:sz w:val="28"/>
        </w:rPr>
        <w:t>文件、程式、測試結果一致且可追溯。</w:t>
      </w:r>
    </w:p>
    <w:p>
      <w:pPr>
        <w:pStyle w:val="Heading1"/>
      </w:pPr>
      <w:r>
        <w:rPr>
          <w:rFonts w:ascii="標楷體" w:hAnsi="標楷體"/>
          <w:sz w:val="28"/>
        </w:rPr>
        <w:t>15. 量測與分析（MA）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34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指標 ID</w:t>
            </w:r>
          </w:p>
        </w:tc>
        <w:tc>
          <w:tcPr>
            <w:tcW w:type="dxa" w:w="1417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指標名稱</w:t>
            </w:r>
          </w:p>
        </w:tc>
        <w:tc>
          <w:tcPr>
            <w:tcW w:type="dxa" w:w="3118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公式/定義</w:t>
            </w:r>
          </w:p>
        </w:tc>
        <w:tc>
          <w:tcPr>
            <w:tcW w:type="dxa" w:w="1134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目標值</w:t>
            </w:r>
          </w:p>
        </w:tc>
        <w:tc>
          <w:tcPr>
            <w:tcW w:type="dxa" w:w="1417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來源</w:t>
            </w:r>
          </w:p>
        </w:tc>
        <w:tc>
          <w:tcPr>
            <w:tcW w:type="dxa" w:w="850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週期</w:t>
            </w:r>
          </w:p>
        </w:tc>
      </w:tr>
      <w:tr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M-001</w:t>
            </w:r>
          </w:p>
        </w:tc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登入失敗率</w:t>
            </w:r>
          </w:p>
        </w:tc>
        <w:tc>
          <w:tcPr>
            <w:tcW w:type="dxa" w:w="311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失敗登入次數 / 總登入次數</w:t>
            </w:r>
          </w:p>
        </w:tc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&lt;= 10%</w:t>
            </w:r>
          </w:p>
        </w:tc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API 日誌</w:t>
            </w:r>
          </w:p>
        </w:tc>
        <w:tc>
          <w:tcPr>
            <w:tcW w:type="dxa" w:w="85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週</w:t>
            </w:r>
          </w:p>
        </w:tc>
      </w:tr>
      <w:tr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M-002</w:t>
            </w:r>
          </w:p>
        </w:tc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交卷成功率</w:t>
            </w:r>
          </w:p>
        </w:tc>
        <w:tc>
          <w:tcPr>
            <w:tcW w:type="dxa" w:w="311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成功交卷次數 / 交卷請求次數</w:t>
            </w:r>
          </w:p>
        </w:tc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&gt;= 99%</w:t>
            </w:r>
          </w:p>
        </w:tc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DB/API 日誌</w:t>
            </w:r>
          </w:p>
        </w:tc>
        <w:tc>
          <w:tcPr>
            <w:tcW w:type="dxa" w:w="85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週</w:t>
            </w:r>
          </w:p>
        </w:tc>
      </w:tr>
      <w:tr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M-003</w:t>
            </w:r>
          </w:p>
        </w:tc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權限缺陷數</w:t>
            </w:r>
          </w:p>
        </w:tc>
        <w:tc>
          <w:tcPr>
            <w:tcW w:type="dxa" w:w="311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高風險權限缺陷數</w:t>
            </w:r>
          </w:p>
        </w:tc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0</w:t>
            </w:r>
          </w:p>
        </w:tc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缺陷系統</w:t>
            </w:r>
          </w:p>
        </w:tc>
        <w:tc>
          <w:tcPr>
            <w:tcW w:type="dxa" w:w="85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版次</w:t>
            </w:r>
          </w:p>
        </w:tc>
      </w:tr>
      <w:tr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M-004</w:t>
            </w:r>
          </w:p>
        </w:tc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需求變動率</w:t>
            </w:r>
          </w:p>
        </w:tc>
        <w:tc>
          <w:tcPr>
            <w:tcW w:type="dxa" w:w="311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基線後變更需求數 / 總需求數</w:t>
            </w:r>
          </w:p>
        </w:tc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&lt;= 15%</w:t>
            </w:r>
          </w:p>
        </w:tc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變更單</w:t>
            </w:r>
          </w:p>
        </w:tc>
        <w:tc>
          <w:tcPr>
            <w:tcW w:type="dxa" w:w="85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月</w:t>
            </w:r>
          </w:p>
        </w:tc>
      </w:tr>
      <w:tr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M-005</w:t>
            </w:r>
          </w:p>
        </w:tc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回歸缺陷率</w:t>
            </w:r>
          </w:p>
        </w:tc>
        <w:tc>
          <w:tcPr>
            <w:tcW w:type="dxa" w:w="311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回歸缺陷數 / 修復缺陷數</w:t>
            </w:r>
          </w:p>
        </w:tc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&lt;= 10%</w:t>
            </w:r>
          </w:p>
        </w:tc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測試報告</w:t>
            </w:r>
          </w:p>
        </w:tc>
        <w:tc>
          <w:tcPr>
            <w:tcW w:type="dxa" w:w="85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版次</w:t>
            </w:r>
          </w:p>
        </w:tc>
      </w:tr>
    </w:tbl>
    <w:p>
      <w:pPr>
        <w:pStyle w:val="Heading1"/>
      </w:pPr>
      <w:r>
        <w:rPr>
          <w:rFonts w:ascii="標楷體" w:hAnsi="標楷體"/>
          <w:sz w:val="28"/>
        </w:rPr>
        <w:t>16. 風險管理（RSKM）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34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風險 ID</w:t>
            </w:r>
          </w:p>
        </w:tc>
        <w:tc>
          <w:tcPr>
            <w:tcW w:type="dxa" w:w="3118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風險描述</w:t>
            </w:r>
          </w:p>
        </w:tc>
        <w:tc>
          <w:tcPr>
            <w:tcW w:type="dxa" w:w="850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影響</w:t>
            </w:r>
          </w:p>
        </w:tc>
        <w:tc>
          <w:tcPr>
            <w:tcW w:type="dxa" w:w="850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機率</w:t>
            </w:r>
          </w:p>
        </w:tc>
        <w:tc>
          <w:tcPr>
            <w:tcW w:type="dxa" w:w="2835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緩解策略</w:t>
            </w:r>
          </w:p>
        </w:tc>
      </w:tr>
      <w:tr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R-001</w:t>
            </w:r>
          </w:p>
        </w:tc>
        <w:tc>
          <w:tcPr>
            <w:tcW w:type="dxa" w:w="311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外部 LLM 供應中斷</w:t>
            </w:r>
          </w:p>
        </w:tc>
        <w:tc>
          <w:tcPr>
            <w:tcW w:type="dxa" w:w="85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中</w:t>
            </w:r>
          </w:p>
        </w:tc>
        <w:tc>
          <w:tcPr>
            <w:tcW w:type="dxa" w:w="85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中</w:t>
            </w:r>
          </w:p>
        </w:tc>
        <w:tc>
          <w:tcPr>
            <w:tcW w:type="dxa" w:w="2835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Provider fallback、人工流程備援</w:t>
            </w:r>
          </w:p>
        </w:tc>
      </w:tr>
      <w:tr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R-002</w:t>
            </w:r>
          </w:p>
        </w:tc>
        <w:tc>
          <w:tcPr>
            <w:tcW w:type="dxa" w:w="311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migration 失敗導致資料不可用</w:t>
            </w:r>
          </w:p>
        </w:tc>
        <w:tc>
          <w:tcPr>
            <w:tcW w:type="dxa" w:w="85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高</w:t>
            </w:r>
          </w:p>
        </w:tc>
        <w:tc>
          <w:tcPr>
            <w:tcW w:type="dxa" w:w="85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低</w:t>
            </w:r>
          </w:p>
        </w:tc>
        <w:tc>
          <w:tcPr>
            <w:tcW w:type="dxa" w:w="2835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先備份、交易化 migration、回復流程</w:t>
            </w:r>
          </w:p>
        </w:tc>
      </w:tr>
      <w:tr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R-003</w:t>
            </w:r>
          </w:p>
        </w:tc>
        <w:tc>
          <w:tcPr>
            <w:tcW w:type="dxa" w:w="311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權限控管漏洞</w:t>
            </w:r>
          </w:p>
        </w:tc>
        <w:tc>
          <w:tcPr>
            <w:tcW w:type="dxa" w:w="85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高</w:t>
            </w:r>
          </w:p>
        </w:tc>
        <w:tc>
          <w:tcPr>
            <w:tcW w:type="dxa" w:w="85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中</w:t>
            </w:r>
          </w:p>
        </w:tc>
        <w:tc>
          <w:tcPr>
            <w:tcW w:type="dxa" w:w="2835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安全測試、路由權限審查、PPQA 稽核</w:t>
            </w:r>
          </w:p>
        </w:tc>
      </w:tr>
      <w:tr>
        <w:tc>
          <w:tcPr>
            <w:tcW w:type="dxa" w:w="1134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R-004</w:t>
            </w:r>
          </w:p>
        </w:tc>
        <w:tc>
          <w:tcPr>
            <w:tcW w:type="dxa" w:w="311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上傳濫用導致資源消耗</w:t>
            </w:r>
          </w:p>
        </w:tc>
        <w:tc>
          <w:tcPr>
            <w:tcW w:type="dxa" w:w="85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中</w:t>
            </w:r>
          </w:p>
        </w:tc>
        <w:tc>
          <w:tcPr>
            <w:tcW w:type="dxa" w:w="85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中</w:t>
            </w:r>
          </w:p>
        </w:tc>
        <w:tc>
          <w:tcPr>
            <w:tcW w:type="dxa" w:w="2835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身分驗證、rate limit、檔案清理機制</w:t>
            </w:r>
          </w:p>
        </w:tc>
      </w:tr>
      <w:tr>
        <w:tc>
          <w:tcPr>
            <w:tcW w:type="dxa" w:w="1134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R-005</w:t>
            </w:r>
          </w:p>
        </w:tc>
        <w:tc>
          <w:tcPr>
            <w:tcW w:type="dxa" w:w="311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需求頻繁變更</w:t>
            </w:r>
          </w:p>
        </w:tc>
        <w:tc>
          <w:tcPr>
            <w:tcW w:type="dxa" w:w="85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中</w:t>
            </w:r>
          </w:p>
        </w:tc>
        <w:tc>
          <w:tcPr>
            <w:tcW w:type="dxa" w:w="85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中</w:t>
            </w:r>
          </w:p>
        </w:tc>
        <w:tc>
          <w:tcPr>
            <w:tcW w:type="dxa" w:w="2835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CCB 評估、分批基線、追溯管理</w:t>
            </w:r>
          </w:p>
        </w:tc>
      </w:tr>
    </w:tbl>
    <w:p>
      <w:pPr>
        <w:pStyle w:val="Heading1"/>
      </w:pPr>
      <w:r>
        <w:rPr>
          <w:rFonts w:ascii="標楷體" w:hAnsi="標楷體"/>
          <w:sz w:val="28"/>
        </w:rPr>
        <w:t>17. 組態與變更管理（CM）</w:t>
      </w:r>
    </w:p>
    <w:p>
      <w:pPr>
        <w:pStyle w:val="Heading2"/>
      </w:pPr>
      <w:r>
        <w:rPr>
          <w:rFonts w:ascii="標楷體" w:hAnsi="標楷體"/>
          <w:sz w:val="28"/>
        </w:rPr>
        <w:t>17.1 組態項目</w:t>
      </w:r>
    </w:p>
    <w:p>
      <w:pPr>
        <w:ind w:left="425"/>
      </w:pPr>
      <w:r>
        <w:rPr>
          <w:rFonts w:ascii="新細明體" w:hAnsi="新細明體"/>
          <w:sz w:val="28"/>
        </w:rPr>
        <w:t>程式碼：server.js、database.js、llm.js</w:t>
      </w:r>
    </w:p>
    <w:p>
      <w:pPr>
        <w:ind w:left="425"/>
      </w:pPr>
      <w:r>
        <w:rPr>
          <w:rFonts w:ascii="新細明體" w:hAnsi="新細明體"/>
          <w:sz w:val="28"/>
        </w:rPr>
        <w:t>前端：public/、templates/public/</w:t>
      </w:r>
    </w:p>
    <w:p>
      <w:pPr>
        <w:ind w:left="425"/>
      </w:pPr>
      <w:r>
        <w:rPr>
          <w:rFonts w:ascii="新細明體" w:hAnsi="新細明體"/>
          <w:sz w:val="28"/>
        </w:rPr>
        <w:t>文件：doc/*.md</w:t>
      </w:r>
    </w:p>
    <w:p>
      <w:pPr>
        <w:ind w:left="425"/>
      </w:pPr>
      <w:r>
        <w:rPr>
          <w:rFonts w:ascii="新細明體" w:hAnsi="新細明體"/>
          <w:sz w:val="28"/>
        </w:rPr>
        <w:t>資料庫：exam.db（含備份檔）</w:t>
      </w:r>
    </w:p>
    <w:p>
      <w:pPr>
        <w:pStyle w:val="Heading2"/>
      </w:pPr>
      <w:r>
        <w:rPr>
          <w:rFonts w:ascii="標楷體" w:hAnsi="標楷體"/>
          <w:sz w:val="28"/>
        </w:rPr>
        <w:t>17.2 基線定義</w:t>
      </w:r>
    </w:p>
    <w:p>
      <w:pPr>
        <w:ind w:left="425"/>
      </w:pPr>
      <w:r>
        <w:rPr>
          <w:rFonts w:ascii="新細明體" w:hAnsi="新細明體"/>
          <w:sz w:val="28"/>
        </w:rPr>
        <w:t>需求基線：本規格核准版</w:t>
      </w:r>
    </w:p>
    <w:p>
      <w:pPr>
        <w:ind w:left="425"/>
      </w:pPr>
      <w:r>
        <w:rPr>
          <w:rFonts w:ascii="新細明體" w:hAnsi="新細明體"/>
          <w:sz w:val="28"/>
        </w:rPr>
        <w:t>設計基線：設計規格核准版</w:t>
      </w:r>
    </w:p>
    <w:p>
      <w:pPr>
        <w:ind w:left="425"/>
      </w:pPr>
      <w:r>
        <w:rPr>
          <w:rFonts w:ascii="新細明體" w:hAnsi="新細明體"/>
          <w:sz w:val="28"/>
        </w:rPr>
        <w:t>發布基線：程式、DB migration、測試報告一致版本</w:t>
      </w:r>
    </w:p>
    <w:p>
      <w:pPr>
        <w:pStyle w:val="Heading2"/>
      </w:pPr>
      <w:r>
        <w:rPr>
          <w:rFonts w:ascii="標楷體" w:hAnsi="標楷體"/>
          <w:sz w:val="28"/>
        </w:rPr>
        <w:t>17.3 變更流程</w:t>
      </w:r>
    </w:p>
    <w:p>
      <w:pPr>
        <w:ind w:left="425"/>
      </w:pPr>
      <w:r>
        <w:rPr>
          <w:rFonts w:ascii="新細明體" w:hAnsi="新細明體"/>
          <w:sz w:val="28"/>
        </w:rPr>
        <w:t>1. 提交變更申請（CR）</w:t>
      </w:r>
    </w:p>
    <w:p>
      <w:pPr>
        <w:ind w:left="425"/>
      </w:pPr>
      <w:r>
        <w:rPr>
          <w:rFonts w:ascii="新細明體" w:hAnsi="新細明體"/>
          <w:sz w:val="28"/>
        </w:rPr>
        <w:t>2. 影響分析（需求/設計/程式/測試/資料）</w:t>
      </w:r>
    </w:p>
    <w:p>
      <w:pPr>
        <w:ind w:left="425"/>
      </w:pPr>
      <w:r>
        <w:rPr>
          <w:rFonts w:ascii="新細明體" w:hAnsi="新細明體"/>
          <w:sz w:val="28"/>
        </w:rPr>
        <w:t>3. CCB 核准</w:t>
      </w:r>
    </w:p>
    <w:p>
      <w:pPr>
        <w:ind w:left="425"/>
      </w:pPr>
      <w:r>
        <w:rPr>
          <w:rFonts w:ascii="新細明體" w:hAnsi="新細明體"/>
          <w:sz w:val="28"/>
        </w:rPr>
        <w:t>4. 實作與驗證</w:t>
      </w:r>
    </w:p>
    <w:p>
      <w:pPr>
        <w:ind w:left="425"/>
      </w:pPr>
      <w:r>
        <w:rPr>
          <w:rFonts w:ascii="新細明體" w:hAnsi="新細明體"/>
          <w:sz w:val="28"/>
        </w:rPr>
        <w:t>5. 更新追溯矩陣與文件</w:t>
      </w:r>
    </w:p>
    <w:p>
      <w:pPr>
        <w:ind w:left="425"/>
      </w:pPr>
      <w:r>
        <w:rPr>
          <w:rFonts w:ascii="新細明體" w:hAnsi="新細明體"/>
          <w:sz w:val="28"/>
        </w:rPr>
        <w:t>6. 重新建立基線</w:t>
      </w:r>
    </w:p>
    <w:p>
      <w:pPr>
        <w:pStyle w:val="Heading1"/>
      </w:pPr>
      <w:r>
        <w:rPr>
          <w:rFonts w:ascii="標楷體" w:hAnsi="標楷體"/>
          <w:sz w:val="28"/>
        </w:rPr>
        <w:t>18. 品質保證與稽核（PPQA）</w:t>
      </w:r>
    </w:p>
    <w:p>
      <w:pPr>
        <w:spacing w:before="100" w:after="100"/>
      </w:pPr>
      <w:r>
        <w:rPr>
          <w:rFonts w:ascii="新細明體" w:hAnsi="新細明體"/>
          <w:sz w:val="28"/>
        </w:rPr>
        <w:t>每版至少執行一次流程稽核與產品稽核。</w:t>
      </w:r>
    </w:p>
    <w:p>
      <w:pPr>
        <w:pStyle w:val="Heading2"/>
      </w:pPr>
      <w:r>
        <w:rPr>
          <w:rFonts w:ascii="標楷體" w:hAnsi="標楷體"/>
          <w:sz w:val="28"/>
        </w:rPr>
        <w:t>稽核檢查項</w:t>
      </w:r>
    </w:p>
    <w:p>
      <w:pPr>
        <w:ind w:left="425"/>
      </w:pPr>
      <w:r>
        <w:rPr>
          <w:rFonts w:ascii="新細明體" w:hAnsi="新細明體"/>
          <w:sz w:val="28"/>
        </w:rPr>
        <w:t>1. 需求是否有唯一 ID 與驗證方法</w:t>
      </w:r>
    </w:p>
    <w:p>
      <w:pPr>
        <w:ind w:left="425"/>
      </w:pPr>
      <w:r>
        <w:rPr>
          <w:rFonts w:ascii="新細明體" w:hAnsi="新細明體"/>
          <w:sz w:val="28"/>
        </w:rPr>
        <w:t>2. 需求與程式/測試是否可追溯</w:t>
      </w:r>
    </w:p>
    <w:p>
      <w:pPr>
        <w:ind w:left="425"/>
      </w:pPr>
      <w:r>
        <w:rPr>
          <w:rFonts w:ascii="新細明體" w:hAnsi="新細明體"/>
          <w:sz w:val="28"/>
        </w:rPr>
        <w:t>3. 高風險缺陷是否關閉</w:t>
      </w:r>
    </w:p>
    <w:p>
      <w:pPr>
        <w:ind w:left="425"/>
      </w:pPr>
      <w:r>
        <w:rPr>
          <w:rFonts w:ascii="新細明體" w:hAnsi="新細明體"/>
          <w:sz w:val="28"/>
        </w:rPr>
        <w:t>4. migration 是否有備份與回復證據</w:t>
      </w:r>
    </w:p>
    <w:p/>
    <w:p>
      <w:pPr>
        <w:spacing w:before="100" w:after="100"/>
      </w:pPr>
      <w:r>
        <w:rPr>
          <w:rFonts w:ascii="新細明體" w:hAnsi="新細明體"/>
          <w:sz w:val="28"/>
        </w:rPr>
        <w:t>稽核不符合項需建立 CAPA（矯正/預防）並追蹤關閉。</w:t>
      </w:r>
    </w:p>
    <w:p>
      <w:pPr>
        <w:pStyle w:val="Heading1"/>
      </w:pPr>
      <w:r>
        <w:rPr>
          <w:rFonts w:ascii="標楷體" w:hAnsi="標楷體"/>
          <w:sz w:val="28"/>
        </w:rPr>
        <w:t>19. 決策分析機制（DAR）</w:t>
      </w:r>
    </w:p>
    <w:p>
      <w:pPr>
        <w:pStyle w:val="Heading2"/>
      </w:pPr>
      <w:r>
        <w:rPr>
          <w:rFonts w:ascii="標楷體" w:hAnsi="標楷體"/>
          <w:sz w:val="28"/>
        </w:rPr>
        <w:t>19.1 需啟用 DAR 的情境</w:t>
      </w:r>
    </w:p>
    <w:p>
      <w:pPr>
        <w:ind w:left="425"/>
      </w:pPr>
      <w:r>
        <w:rPr>
          <w:rFonts w:ascii="新細明體" w:hAnsi="新細明體"/>
          <w:sz w:val="28"/>
        </w:rPr>
        <w:t>資料庫架構重大調整</w:t>
      </w:r>
    </w:p>
    <w:p>
      <w:pPr>
        <w:ind w:left="425"/>
      </w:pPr>
      <w:r>
        <w:rPr>
          <w:rFonts w:ascii="新細明體" w:hAnsi="新細明體"/>
          <w:sz w:val="28"/>
        </w:rPr>
        <w:t>權限模型調整</w:t>
      </w:r>
    </w:p>
    <w:p>
      <w:pPr>
        <w:ind w:left="425"/>
      </w:pPr>
      <w:r>
        <w:rPr>
          <w:rFonts w:ascii="新細明體" w:hAnsi="新細明體"/>
          <w:sz w:val="28"/>
        </w:rPr>
        <w:t>外部 AI Provider 策略調整</w:t>
      </w:r>
    </w:p>
    <w:p>
      <w:pPr>
        <w:pStyle w:val="Heading2"/>
      </w:pPr>
      <w:r>
        <w:rPr>
          <w:rFonts w:ascii="標楷體" w:hAnsi="標楷體"/>
          <w:sz w:val="28"/>
        </w:rPr>
        <w:t>19.2 決策準則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669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準則</w:t>
            </w:r>
          </w:p>
        </w:tc>
        <w:tc>
          <w:tcPr>
            <w:tcW w:type="dxa" w:w="3118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權重</w:t>
            </w:r>
          </w:p>
        </w:tc>
      </w:tr>
      <w:tr>
        <w:tc>
          <w:tcPr>
            <w:tcW w:type="dxa" w:w="5669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安全性</w:t>
            </w:r>
          </w:p>
        </w:tc>
        <w:tc>
          <w:tcPr>
            <w:tcW w:type="dxa" w:w="311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30%</w:t>
            </w:r>
          </w:p>
        </w:tc>
      </w:tr>
      <w:tr>
        <w:tc>
          <w:tcPr>
            <w:tcW w:type="dxa" w:w="5669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一致性與可維護性</w:t>
            </w:r>
          </w:p>
        </w:tc>
        <w:tc>
          <w:tcPr>
            <w:tcW w:type="dxa" w:w="311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25%</w:t>
            </w:r>
          </w:p>
        </w:tc>
      </w:tr>
      <w:tr>
        <w:tc>
          <w:tcPr>
            <w:tcW w:type="dxa" w:w="5669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成本與工期</w:t>
            </w:r>
          </w:p>
        </w:tc>
        <w:tc>
          <w:tcPr>
            <w:tcW w:type="dxa" w:w="311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20%</w:t>
            </w:r>
          </w:p>
        </w:tc>
      </w:tr>
      <w:tr>
        <w:tc>
          <w:tcPr>
            <w:tcW w:type="dxa" w:w="5669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效能與可擴充性</w:t>
            </w:r>
          </w:p>
        </w:tc>
        <w:tc>
          <w:tcPr>
            <w:tcW w:type="dxa" w:w="311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15%</w:t>
            </w:r>
          </w:p>
        </w:tc>
      </w:tr>
      <w:tr>
        <w:tc>
          <w:tcPr>
            <w:tcW w:type="dxa" w:w="5669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導入風險</w:t>
            </w:r>
          </w:p>
        </w:tc>
        <w:tc>
          <w:tcPr>
            <w:tcW w:type="dxa" w:w="311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10%</w:t>
            </w:r>
          </w:p>
        </w:tc>
      </w:tr>
    </w:tbl>
    <w:p>
      <w:pPr>
        <w:pStyle w:val="Heading1"/>
      </w:pPr>
      <w:r>
        <w:rPr>
          <w:rFonts w:ascii="標楷體" w:hAnsi="標楷體"/>
          <w:sz w:val="28"/>
        </w:rPr>
        <w:t>20. 教育訓練與知識移轉（OT）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17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對象</w:t>
            </w:r>
          </w:p>
        </w:tc>
        <w:tc>
          <w:tcPr>
            <w:tcW w:type="dxa" w:w="3969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訓練主題</w:t>
            </w:r>
          </w:p>
        </w:tc>
        <w:tc>
          <w:tcPr>
            <w:tcW w:type="dxa" w:w="3402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完成標準</w:t>
            </w:r>
          </w:p>
        </w:tc>
      </w:tr>
      <w:tr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DEV</w:t>
            </w:r>
          </w:p>
        </w:tc>
        <w:tc>
          <w:tcPr>
            <w:tcW w:type="dxa" w:w="3969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ownership 與資料完整性約束</w:t>
            </w:r>
          </w:p>
        </w:tc>
        <w:tc>
          <w:tcPr>
            <w:tcW w:type="dxa" w:w="3402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可獨立完成 migration 與回復</w:t>
            </w:r>
          </w:p>
        </w:tc>
      </w:tr>
      <w:tr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QA</w:t>
            </w:r>
          </w:p>
        </w:tc>
        <w:tc>
          <w:tcPr>
            <w:tcW w:type="dxa" w:w="3969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權限/安全測試腳本</w:t>
            </w:r>
          </w:p>
        </w:tc>
        <w:tc>
          <w:tcPr>
            <w:tcW w:type="dxa" w:w="3402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可覆蓋關鍵越權情境</w:t>
            </w:r>
          </w:p>
        </w:tc>
      </w:tr>
      <w:tr>
        <w:tc>
          <w:tcPr>
            <w:tcW w:type="dxa" w:w="1417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OPS</w:t>
            </w:r>
          </w:p>
        </w:tc>
        <w:tc>
          <w:tcPr>
            <w:tcW w:type="dxa" w:w="3969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備份/還原與發布流程</w:t>
            </w:r>
          </w:p>
        </w:tc>
        <w:tc>
          <w:tcPr>
            <w:tcW w:type="dxa" w:w="3402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可完成演練並留存紀錄</w:t>
            </w:r>
          </w:p>
        </w:tc>
      </w:tr>
      <w:tr>
        <w:tc>
          <w:tcPr>
            <w:tcW w:type="dxa" w:w="1417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SA/PM</w:t>
            </w:r>
          </w:p>
        </w:tc>
        <w:tc>
          <w:tcPr>
            <w:tcW w:type="dxa" w:w="3969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CCB 與需求追溯流程</w:t>
            </w:r>
          </w:p>
        </w:tc>
        <w:tc>
          <w:tcPr>
            <w:tcW w:type="dxa" w:w="3402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可完整維護基線與變更紀錄</w:t>
            </w:r>
          </w:p>
        </w:tc>
      </w:tr>
    </w:tbl>
    <w:p>
      <w:pPr>
        <w:pStyle w:val="Heading1"/>
      </w:pPr>
      <w:r>
        <w:rPr>
          <w:rFonts w:ascii="標楷體" w:hAnsi="標楷體"/>
          <w:sz w:val="28"/>
        </w:rPr>
        <w:t>21. 驗收重點</w:t>
      </w:r>
    </w:p>
    <w:p>
      <w:pPr>
        <w:ind w:left="425"/>
      </w:pPr>
      <w:r>
        <w:rPr>
          <w:rFonts w:ascii="新細明體" w:hAnsi="新細明體"/>
          <w:sz w:val="28"/>
        </w:rPr>
        <w:t>1. 需求、設計、程式、測試可雙向追溯。</w:t>
      </w:r>
    </w:p>
    <w:p>
      <w:pPr>
        <w:ind w:left="425"/>
      </w:pPr>
      <w:r>
        <w:rPr>
          <w:rFonts w:ascii="新細明體" w:hAnsi="新細明體"/>
          <w:sz w:val="28"/>
        </w:rPr>
        <w:t>2. 學生端無法取得題目正解與他人作答資料。</w:t>
      </w:r>
    </w:p>
    <w:p>
      <w:pPr>
        <w:ind w:left="425"/>
      </w:pPr>
      <w:r>
        <w:rPr>
          <w:rFonts w:ascii="新細明體" w:hAnsi="新細明體"/>
          <w:sz w:val="28"/>
        </w:rPr>
        <w:t>3. 作答 ownership 與資料庫完整性約束生效。</w:t>
      </w:r>
    </w:p>
    <w:p>
      <w:pPr>
        <w:ind w:left="425"/>
      </w:pPr>
      <w:r>
        <w:rPr>
          <w:rFonts w:ascii="新細明體" w:hAnsi="新細明體"/>
          <w:sz w:val="28"/>
        </w:rPr>
        <w:t>4. 登入與上傳行為具防濫用控制。</w:t>
      </w:r>
    </w:p>
    <w:p>
      <w:pPr>
        <w:ind w:left="425"/>
      </w:pPr>
      <w:r>
        <w:rPr>
          <w:rFonts w:ascii="新細明體" w:hAnsi="新細明體"/>
          <w:sz w:val="28"/>
        </w:rPr>
        <w:t>5. 變更有紀錄、可審計、可回復。</w:t>
      </w:r>
    </w:p>
    <w:p>
      <w:pPr>
        <w:pStyle w:val="Heading1"/>
      </w:pPr>
      <w:r>
        <w:rPr>
          <w:rFonts w:ascii="標楷體" w:hAnsi="標楷體"/>
          <w:sz w:val="28"/>
        </w:rPr>
        <w:t>22. 名詞定義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名詞</w:t>
            </w:r>
          </w:p>
        </w:tc>
        <w:tc>
          <w:tcPr>
            <w:tcW w:type="dxa" w:w="6520"/>
            <w:shd w:val="clear" w:color="auto" w:fill="2E75B6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4"/>
              </w:rPr>
              <w:t>定義</w:t>
            </w:r>
          </w:p>
        </w:tc>
      </w:tr>
      <w:tr>
        <w:tc>
          <w:tcPr>
            <w:tcW w:type="dxa" w:w="226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Baseline</w:t>
            </w:r>
          </w:p>
        </w:tc>
        <w:tc>
          <w:tcPr>
            <w:tcW w:type="dxa" w:w="652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經核准且受管制之正式版本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CCB</w:t>
            </w:r>
          </w:p>
        </w:tc>
        <w:tc>
          <w:tcPr>
            <w:tcW w:type="dxa" w:w="652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Change Control Board，變更控制委員會</w:t>
            </w:r>
          </w:p>
        </w:tc>
      </w:tr>
      <w:tr>
        <w:tc>
          <w:tcPr>
            <w:tcW w:type="dxa" w:w="226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RTM</w:t>
            </w:r>
          </w:p>
        </w:tc>
        <w:tc>
          <w:tcPr>
            <w:tcW w:type="dxa" w:w="652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Requirement Traceability Matrix，需求追溯矩陣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Ownership</w:t>
            </w:r>
          </w:p>
        </w:tc>
        <w:tc>
          <w:tcPr>
            <w:tcW w:type="dxa" w:w="652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以 student_account_id 綁定之資料歸屬模型</w:t>
            </w:r>
          </w:p>
        </w:tc>
      </w:tr>
      <w:tr>
        <w:tc>
          <w:tcPr>
            <w:tcW w:type="dxa" w:w="2268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Verification</w:t>
            </w:r>
          </w:p>
        </w:tc>
        <w:tc>
          <w:tcPr>
            <w:tcW w:type="dxa" w:w="6520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驗證「做得對」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Validation</w:t>
            </w:r>
          </w:p>
        </w:tc>
        <w:tc>
          <w:tcPr>
            <w:tcW w:type="dxa" w:w="6520"/>
            <w:shd w:val="clear" w:color="auto" w:fill="F2F7FF"/>
            <w:tcBorders>
              <w:top w:val="single" w:sz="4" w:color="9DC3E6"/>
              <w:left w:val="single" w:sz="4" w:color="9DC3E6"/>
              <w:bottom w:val="single" w:sz="4" w:color="9DC3E6"/>
              <w:right w:val="single" w:sz="4" w:color="9DC3E6"/>
              <w:insideH w:val="single" w:sz="4" w:color="9DC3E6"/>
              <w:insideV w:val="single" w:sz="4" w:color="9DC3E6"/>
            </w:tcBorders>
          </w:tcPr>
          <w:p>
            <w:r>
              <w:rPr>
                <w:rFonts w:ascii="新細明體" w:hAnsi="新細明體"/>
                <w:sz w:val="24"/>
              </w:rPr>
              <w:t>確認「做對的產品」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新細明體" w:hAnsi="新細明體"/>
        <w:sz w:val="20"/>
      </w:rPr>
      <w:fldChar w:fldCharType="begin"/>
      <w:instrText>PAGE</w:instrText>
      <w:fldChar w:fldCharType="end"/>
    </w:r>
    <w:r>
      <w:rPr>
        <w:rFonts w:ascii="新細明體" w:hAnsi="新細明體"/>
        <w:sz w:val="20"/>
      </w:rPr>
      <w:t xml:space="preserve"> / </w:t>
    </w:r>
    <w:r>
      <w:rPr>
        <w:rFonts w:ascii="新細明體" w:hAnsi="新細明體"/>
        <w:sz w:val="20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