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  <w:b/>
          <w:color w:val="1F3864"/>
          <w:sz w:val="30"/>
        </w:rPr>
        <w:t>认证服务 v3.8 发布事故初步复盘（Preliminary）</w:t>
      </w:r>
    </w:p>
    <w:p>
      <w:r>
        <w:rPr>
          <w:rFonts w:ascii="Microsoft YaHei" w:hAnsi="Microsoft YaHei" w:eastAsia="Microsoft YaHei"/>
          <w:b/>
          <w:sz w:val="21"/>
        </w:rPr>
        <w:t>状态</w:t>
      </w:r>
      <w:r>
        <w:rPr>
          <w:rFonts w:ascii="Microsoft YaHei" w:hAnsi="Microsoft YaHei" w:eastAsia="Microsoft YaHei"/>
          <w:sz w:val="21"/>
        </w:rPr>
        <w:t xml:space="preserve">：初步（最终根因尚未验证） </w:t>
      </w:r>
      <w:r>
        <w:rPr>
          <w:rFonts w:ascii="Microsoft YaHei" w:hAnsi="Microsoft YaHei" w:eastAsia="Microsoft YaHei"/>
          <w:b/>
          <w:sz w:val="21"/>
        </w:rPr>
        <w:t>事故等级</w:t>
      </w:r>
      <w:r>
        <w:rPr>
          <w:rFonts w:ascii="Microsoft YaHei" w:hAnsi="Microsoft YaHei" w:eastAsia="Microsoft YaHei"/>
          <w:sz w:val="21"/>
        </w:rPr>
        <w:t xml:space="preserve">：P1 </w:t>
      </w:r>
      <w:r>
        <w:rPr>
          <w:rFonts w:ascii="Microsoft YaHei" w:hAnsi="Microsoft YaHei" w:eastAsia="Microsoft YaHei"/>
          <w:b/>
          <w:sz w:val="21"/>
        </w:rPr>
        <w:t>事故窗口</w:t>
      </w:r>
      <w:r>
        <w:rPr>
          <w:rFonts w:ascii="Microsoft YaHei" w:hAnsi="Microsoft YaHei" w:eastAsia="Microsoft YaHei"/>
          <w:sz w:val="21"/>
        </w:rPr>
        <w:t xml:space="preserve">：14:02–14:49（北京时间），共 47 分钟 </w:t>
      </w:r>
      <w:r>
        <w:rPr>
          <w:rFonts w:ascii="Microsoft YaHei" w:hAnsi="Microsoft YaHei" w:eastAsia="Microsoft YaHei"/>
          <w:b/>
          <w:sz w:val="21"/>
        </w:rPr>
        <w:t>编写</w:t>
      </w:r>
      <w:r>
        <w:rPr>
          <w:rFonts w:ascii="Microsoft YaHei" w:hAnsi="Microsoft YaHei" w:eastAsia="Microsoft YaHei"/>
          <w:sz w:val="21"/>
        </w:rPr>
        <w:t>：平台可靠性负责人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864"/>
          <w:sz w:val="26"/>
        </w:rPr>
        <w:t>1. 摘要</w:t>
      </w:r>
    </w:p>
    <w:p>
      <w:r>
        <w:rPr>
          <w:rFonts w:ascii="Microsoft YaHei" w:hAnsi="Microsoft YaHei" w:eastAsia="Microsoft YaHei"/>
          <w:sz w:val="21"/>
        </w:rPr>
        <w:t>14:02 发布认证服务 v3.8 后登录错误率在 5 分钟内由 0.3% 升至 11.8%，14:18 决定回滚，14:31 回滚完成，14:49 全部恢复。约 18% 活跃用户至少一次登录失败，1,240 个后台任务失败并已全部重放成功。当前最可能的触发因素是新版本对旧格式 token 的额外数据库查询耗尽连接池，但</w:t>
      </w:r>
      <w:r>
        <w:rPr>
          <w:rFonts w:ascii="Microsoft YaHei" w:hAnsi="Microsoft YaHei" w:eastAsia="Microsoft YaHei"/>
          <w:b/>
          <w:sz w:val="21"/>
        </w:rPr>
        <w:t>尚未排除缓存失效与连接池配置共同作用</w:t>
      </w:r>
      <w:r>
        <w:rPr>
          <w:rFonts w:ascii="Microsoft YaHei" w:hAnsi="Microsoft YaHei" w:eastAsia="Microsoft YaHei"/>
          <w:sz w:val="21"/>
        </w:rPr>
        <w:t>，因此本文所有根因描述均为假设。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864"/>
          <w:sz w:val="26"/>
        </w:rPr>
        <w:t>2. 业务影响（事实）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约 18% 的活跃用户在 47 分钟内至少一次登录失败。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1,240 个后台任务失败，均已重放成功；无数据丢失或未授权访问的证据。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错误率在 14:37 降至 1.2% 后仍有异步队列积压，用户侧完全恢复以 14:49 为界。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864"/>
          <w:sz w:val="26"/>
        </w:rPr>
        <w:t>3. 技术现象（事实）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时间（北京时间）</w:t>
            </w:r>
          </w:p>
        </w:tc>
        <w:tc>
          <w:tcPr>
            <w:tcW w:type="dxa" w:w="4986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事件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14:02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发布认证服务 v3.8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14:07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登录错误率 0.3%→11.8%，告警触发（发布后 5 分钟）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14:12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值班工程师确认影响生产，暂停后续发布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14:18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决定回滚（距告警 11 分钟）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14:31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回滚完成（回滚耗时 13 分钟）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14:37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错误率降至 1.2%，异步队列仍积压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14:49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错误率 0.4%，队列清空，事故结束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15:20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初步日志：新版本遇旧格式 token 时发起额外数据库查询；数据库连接池达到上限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17:10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小流量复现成功；未排除缓存失效与连接池配置共同作用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1F3864"/>
          <w:sz w:val="26"/>
        </w:rPr>
        <w:t>4. 已知事实与假设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已知：版本在预发布环境测试通过；预发布数据中旧格式 token 占比 0.2%，生产约 14%；变更审批完整。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假设 H1（最可能）：旧格式 token 触发额外查询→连接池耗尽→登录失败。已小流量复现，但复现条件与生产是否一致未确认。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假设 H2：缓存失效放大查询量，与 H1 叠加。未验证。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假设 H3：连接池上限偏低，缺乏冗余。未验证。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未知：异步队列为何在错误率下降后仍积压 12 分钟。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864"/>
          <w:sz w:val="26"/>
        </w:rPr>
        <w:t>5. 处置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已完成：回滚、任务重放、暂停后续发布、保留日志与复现环境。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进行中：逐一验证 H1–H3；核对其他依赖旧格式 token 的服务。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864"/>
          <w:sz w:val="26"/>
        </w:rPr>
        <w:t>6. 防复发计划</w:t>
      </w:r>
    </w:p>
    <w:p>
      <w:r>
        <w:rPr>
          <w:rFonts w:ascii="Microsoft YaHei" w:hAnsi="Microsoft YaHei" w:eastAsia="Microsoft YaHei"/>
          <w:b/>
          <w:sz w:val="21"/>
        </w:rPr>
        <w:t>48 小时内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完成 H1–H3 验证并给出根因结论；此前 v3.8 不得重新发布。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在预发布环境注入与生产一致比例（约 14%）的旧格式 token。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增加连接池使用率告警（建议阈值 80%）并复核上限。</w:t>
      </w:r>
    </w:p>
    <w:p>
      <w:r>
        <w:rPr>
          <w:rFonts w:ascii="Microsoft YaHei" w:hAnsi="Microsoft YaHei" w:eastAsia="Microsoft YaHei"/>
          <w:b/>
          <w:sz w:val="21"/>
        </w:rPr>
        <w:t>两周内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认证服务发布改为灰度（5%→25%→100%），登录错误率 &gt;1% 自动回滚。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建立“生产数据特征与预发布差异清单”，纳入发布评审。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专项分析队列积压原因并设定清理 SLA。</w:t>
      </w:r>
    </w:p>
    <w:p>
      <w:r>
        <w:rPr>
          <w:rFonts w:ascii="Microsoft YaHei" w:hAnsi="Microsoft YaHei" w:eastAsia="Microsoft YaHei"/>
          <w:b/>
          <w:sz w:val="21"/>
        </w:rPr>
        <w:t>长期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制定旧格式 token 迁移淘汰计划，消除双格式并存。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将告警到回滚决定（本次 11 分钟）、回滚执行（13 分钟）纳入 SLO 基线。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864"/>
          <w:sz w:val="26"/>
        </w:rPr>
        <w:t>7. 待确认</w:t>
      </w:r>
    </w:p>
    <w:p>
      <w:r>
        <w:rPr>
          <w:rFonts w:ascii="Microsoft YaHei" w:hAnsi="Microsoft YaHei" w:eastAsia="Microsoft YaHei"/>
          <w:sz w:val="21"/>
        </w:rPr>
        <w:t>复现时缓存状态是否与生产一致；连接池上限与历史峰值；是否有其他服务依赖旧格式 token。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