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营销主张合规审查矩阵</w:t>
      </w:r>
    </w:p>
    <w:p>
      <w:r>
        <w:rPr>
          <w:rFonts w:ascii="Microsoft YaHei" w:hAnsi="Microsoft YaHei" w:eastAsia="Microsoft YaHei"/>
          <w:b/>
          <w:sz w:val="21"/>
        </w:rPr>
        <w:t>规则摘要</w:t>
      </w:r>
      <w:r>
        <w:rPr>
          <w:rFonts w:ascii="Microsoft YaHei" w:hAnsi="Microsoft YaHei" w:eastAsia="Microsoft YaHei"/>
          <w:sz w:val="21"/>
        </w:rPr>
        <w:t>：绝对/第一/唯一须有独立充分证据；不得保证 ROI 或未来结果；比较主张须同口径测试；安全只能说 SOC 2 Type II 有效，不可说“无法被攻击”；环境主张只能覆盖证据边界；统计须保留样本、口径或时间范围。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拟发布主张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评级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理由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合规改写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全球第一的运营平台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Red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“第一”属绝对主张，无独立充分证据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删除；或改为：“截至 2026 年 6 月 30 日，已有 12,400 家付费企业客户选择我们的运营平台。”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12,400 家企业正在使用我们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Yellow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数字有证据，但缺少口径（付费）与时间点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“截至 2026 年 6 月 30 日，12,400 家付费企业客户正在使用我们的平台。”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帮你降低 40% 的运营成本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Red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将内部样本中位数写成对个体客户的确定结果；无对照组；“帮你”隐含承诺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“在 72 家客户参与的 3 个月内部样本中，运营成本中位数下降 40%（无对照组，结果因客户而异）。” → 改写后为 Yellow 可发布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保证 30 天实现正 ROI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Red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规则禁止保证投资回报或未来结果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删除。可替代为：“我们提供 ROI 评估工作坊，帮助您在采购前建立自己的测算。”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已取得 SOC 2 Type II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Green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SOC 2 Type II 报告有效，规则允许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可直接发布；建议加“报告有效”以明确时效：“SOC 2 Type II 报告有效。”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数据绝对安全，黑客无法攻破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Red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规则明确禁止“无法被攻击”类表述；“绝对”为绝对主张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“我们持有有效的 SOC 2 Type II 报告，并持续投入安全控制。”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我们是一家 100% 碳中和公司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Red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证据仅覆盖 2025 年自有办公室运营用电，不覆盖供应链；“碳中和”与“可再生电力”不是同一概念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使用第 8 条表述。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2025 年自有办公室运营用电 100% 来自可再生能源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Green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与证据边界完全一致（年份、范围、口径）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可直接发布；建议补充“不含供应链”以防误读：“2025 年，我们自有办公室的运营用电 100% 来自可再生电力（不含供应链）。”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比竞品 X 快两倍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Red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比较主张须同口径测试；没有竞品速度测试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删除；如需性能表述，仅可在完成同口径测试并保留方法说明后再评审。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加入数千家企业客户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Yellow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方向正确但模糊；12,400 为“付费企业客户”且有时间点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“加入截至 2026 年 6 月 30 日的 12,400 家付费企业客户。”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再也不会丢失任何文件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Red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绝对化的未来结果承诺，无证据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“2025 年经核实的平台可用性为 99.95%。”（不承诺零丢失）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2025 年平台可用性达到 99.95%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Green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有经核实的证据，含年份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可直接发布；建议加“经核实”：“2025 年经核实的平台可用性为 99.95%。”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汇总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Green：3 条（#5、#8、#12）— 可直接发布，建议按改写加时效/范围限定。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Yellow：2 条（#2、#10）— 补齐口径与时间点后发布。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Red：7 条（#1、#3、#4、#6、#7、#9、#11）— 不可按原文发布；其中 #3 改写后可降为 Yellow，#4、#6、#9、#11 需删除原意。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复核提示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所有涉及 12,400 的表述统一使用“截至 2026 年 6 月 30 日”“付费企业客户”。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涉及 40% 的表述必须同时出现“72 家客户”“3 个月”“中位数”“内部样本”“无对照组”。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安全表述统一为“SOC 2 Type II 报告有效”；环境表述限定“2025 年”“自有办公室运营用电”“可再生电力”。</w:t>
      </w:r>
    </w:p>
    <w:sectPr w:rsidR="00FC693F" w:rsidRPr="0006063C" w:rsidSect="00034616"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