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投资备忘录：Northbridge Exchange（多空对冲基金）</w:t>
      </w:r>
    </w:p>
    <w:p>
      <w:r>
        <w:rPr>
          <w:rFonts w:ascii="Microsoft YaHei" w:hAnsi="Microsoft YaHei" w:eastAsia="Microsoft YaHei"/>
          <w:b/>
          <w:sz w:val="21"/>
        </w:rPr>
        <w:t>结论</w:t>
      </w:r>
      <w:r>
        <w:rPr>
          <w:rFonts w:ascii="Microsoft YaHei" w:hAnsi="Microsoft YaHei" w:eastAsia="Microsoft YaHei"/>
          <w:sz w:val="21"/>
        </w:rPr>
        <w:t>：建议建立</w:t>
      </w:r>
      <w:r>
        <w:rPr>
          <w:rFonts w:ascii="Microsoft YaHei" w:hAnsi="Microsoft YaHei" w:eastAsia="Microsoft YaHei"/>
          <w:b/>
          <w:sz w:val="21"/>
        </w:rPr>
        <w:t>小规模试探性多头</w:t>
      </w:r>
      <w:r>
        <w:rPr>
          <w:rFonts w:ascii="Microsoft YaHei" w:hAnsi="Microsoft YaHei" w:eastAsia="Microsoft YaHei"/>
          <w:sz w:val="21"/>
        </w:rPr>
        <w:t>（初始 1% NAV，上限 3%），概率加权目标价 51.25 美元（测算）较当前 45 美元有 +13.9% 上行，但下行情景 −49% 且核心不确定性（渠道续签、费用上限规则）在 9 个月内才能逐步落地；仓位应随催化剂兑现分步加码，而非一次到位。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业务与 KPI 判断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事实</w:t>
            </w:r>
          </w:p>
        </w:tc>
        <w:tc>
          <w:tcPr>
            <w:tcW w:type="dxa" w:w="498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判断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收入 70% 交易佣金、30% 订阅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收入质量仍以周期性佣金为主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交易量 +35%，每笔净费率 −12%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量增价减：佣金收入约 +18.8%（测算：1.35×0.88−1），增长依赖量的持续性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订阅 ARR +28%，NRR 106%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订阅增长健康，是估值向上重估的主要来源；但 NRR 106% 属中等，扩张动能有限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最大渠道贡献新客户 42%，合同 9 个月后续签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单一渠道集中度高，续签是二元事件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监管征求意见降低部分交易费用上限，尚无最终规则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佣金费率的下行风险尚未定价完毕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情景估值（EV/EBITDA + 净现金 2 亿美元，1 亿股）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情景</w:t>
            </w:r>
          </w:p>
        </w:tc>
        <w:tc>
          <w:tcPr>
            <w:tcW w:type="dxa" w:w="124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概率</w:t>
            </w:r>
          </w:p>
        </w:tc>
        <w:tc>
          <w:tcPr>
            <w:tcW w:type="dxa" w:w="124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CY2027 EBITDA（亿美元）</w:t>
            </w:r>
          </w:p>
        </w:tc>
        <w:tc>
          <w:tcPr>
            <w:tcW w:type="dxa" w:w="124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倍数</w:t>
            </w:r>
          </w:p>
        </w:tc>
        <w:tc>
          <w:tcPr>
            <w:tcW w:type="dxa" w:w="124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EV（亿美元）</w:t>
            </w:r>
          </w:p>
        </w:tc>
        <w:tc>
          <w:tcPr>
            <w:tcW w:type="dxa" w:w="124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股权价值（亿美元）</w:t>
            </w:r>
          </w:p>
        </w:tc>
        <w:tc>
          <w:tcPr>
            <w:tcW w:type="dxa" w:w="124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每股（美元）</w:t>
            </w:r>
          </w:p>
        </w:tc>
        <w:tc>
          <w:tcPr>
            <w:tcW w:type="dxa" w:w="124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vs 45 美元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Bear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3.5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6×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21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23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23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−48.9%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Base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6.0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8×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48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+11.1%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Bull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8.0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10×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82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82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+82.2%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概率加权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51.25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51.25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+13.9%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概率加权 = 0.25×23 + 0.5×50 + 0.25×82 = 5.75 + 25 + 20.5 = 51.25 美元（测算）。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当前隐含：EV = 45×1 − 2 = 43 亿美元 → 7.2× Base EBITDA、12.3× Bear EBITDA（测算）。市场定价接近 Base 情景略打折，未充分反映 Bull，也未完全反映 Bear。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上行/下行不对称：Bull 相对 Base 的增量 +32 美元，Bear 相对 Base 的减量 −27 美元，概率对等；期望值仅比现价高 13.9%，属“正但不厚”的安全边际。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催化剂与时间线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催化剂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时点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对情景的影响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新订阅产品 Q4 上线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约 3–4 个月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提升订阅占比与 ARR 增速，支持 Base→Bull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最大渠道续签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 个月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续签成功消除 Bear 主要触发因素之一；失败则直接指向 Bear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费用规则落地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若上限温和，费率压缩见底；若严苛，Bear 概率上升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主要风险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费率压缩</w:t>
      </w:r>
      <w:r>
        <w:rPr>
          <w:rFonts w:ascii="Microsoft YaHei" w:hAnsi="Microsoft YaHei" w:eastAsia="Microsoft YaHei"/>
          <w:sz w:val="21"/>
        </w:rPr>
        <w:t>：已 −12%，监管可能进一步压低；佣金占收入 70%，弹性最大。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渠道集中</w:t>
      </w:r>
      <w:r>
        <w:rPr>
          <w:rFonts w:ascii="Microsoft YaHei" w:hAnsi="Microsoft YaHei" w:eastAsia="Microsoft YaHei"/>
          <w:sz w:val="21"/>
        </w:rPr>
        <w:t>：42% 新客户依赖单一渠道，9 个月后续签为二元风险。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交易量周期</w:t>
      </w:r>
      <w:r>
        <w:rPr>
          <w:rFonts w:ascii="Microsoft YaHei" w:hAnsi="Microsoft YaHei" w:eastAsia="Microsoft YaHei"/>
          <w:sz w:val="21"/>
        </w:rPr>
        <w:t>：+35% 的量增在周期回落时会逆转，Bear 情景 EBITDA 3.5 亿即反映此类回撤。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信息限制</w:t>
      </w:r>
      <w:r>
        <w:rPr>
          <w:rFonts w:ascii="Microsoft YaHei" w:hAnsi="Microsoft YaHei" w:eastAsia="Microsoft YaHei"/>
          <w:sz w:val="21"/>
        </w:rPr>
        <w:t>：无成本结构、无历史估值区间、无同业比较，所有情景 EBITDA 与倍数均为给定假设。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5. 仓位建议与执行纪律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初始</w:t>
      </w:r>
      <w:r>
        <w:rPr>
          <w:rFonts w:ascii="Microsoft YaHei" w:hAnsi="Microsoft YaHei" w:eastAsia="Microsoft YaHei"/>
          <w:sz w:val="21"/>
        </w:rPr>
        <w:t>：1% NAV 多头。理由：期望回报为正（+13.9%）但证据强度中等（两项关键不确定性未落地），且 Bear 下行近 50%。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加码触发</w:t>
      </w:r>
      <w:r>
        <w:rPr>
          <w:rFonts w:ascii="Microsoft YaHei" w:hAnsi="Microsoft YaHei" w:eastAsia="Microsoft YaHei"/>
          <w:sz w:val="21"/>
        </w:rPr>
        <w:t>（每次 +1%，上限 3%）：① Q4 订阅产品上线且 ARR 增速维持 ≥25%；② 渠道续签完成。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减仓/退出触发</w:t>
      </w:r>
      <w:r>
        <w:rPr>
          <w:rFonts w:ascii="Microsoft YaHei" w:hAnsi="Microsoft YaHei" w:eastAsia="Microsoft YaHei"/>
          <w:sz w:val="21"/>
        </w:rPr>
        <w:t>：① 费用规则终稿使费率再降 ≥10%；② 渠道续签失败；③ 股价升至 60 美元以上而 Bull 催化剂未兑现（此时隐含已接近 Base 上限）。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对冲</w:t>
      </w:r>
      <w:r>
        <w:rPr>
          <w:rFonts w:ascii="Microsoft YaHei" w:hAnsi="Microsoft YaHei" w:eastAsia="Microsoft YaHei"/>
          <w:sz w:val="21"/>
        </w:rPr>
        <w:t>：可用交易所/经纪板块指数空头对冲交易量周期 beta（比例与工具待风控确认）。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6. 证据强度评估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强证据：订阅 ARR +28%、交易量 +35% 为已发生的经营数据；净现金 2 亿美元与 1 亿股为确定输入。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中等证据：三情景 EBITDA 与倍数为给定假设，无历史区间或同业对照支撑；概率 25/50/25 为约定而非推导。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弱证据/未知：渠道续签结果、费用规则最终形态、新订阅产品的实际接受度。仓位建议因此从 1% 起步，而不是直接建至 3%。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7. 结论</w:t>
      </w:r>
    </w:p>
    <w:p>
      <w:r>
        <w:rPr>
          <w:rFonts w:ascii="Microsoft YaHei" w:hAnsi="Microsoft YaHei" w:eastAsia="Microsoft YaHei"/>
          <w:sz w:val="21"/>
        </w:rPr>
        <w:t>Northbridge 是“正期望、宽分布”的标的：订阅业务提供向上重估路径，但佣金费率与渠道集中构成真实的 Bear 情景。以小仓位参与、按催化剂分步加码，与当前证据强度匹配；若两项催化剂在 9 个月内均正向兑现，目标仓位 3% 对应的概率加权上行仍有约 14%，风险回报可接受。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