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color w:val="1F3864"/>
          <w:sz w:val="30"/>
        </w:rPr>
        <w:t>采购建议：三家系统供应商三年 TCO/NPV</w:t>
      </w:r>
    </w:p>
    <w:p>
      <w:r>
        <w:rPr>
          <w:rFonts w:ascii="Microsoft YaHei" w:hAnsi="Microsoft YaHei" w:eastAsia="Microsoft YaHei"/>
          <w:sz w:val="21"/>
        </w:rPr>
        <w:t>采购建议（≤500 字）：按 8% 折现，三年 TCO 的 NPV 为 Vendor A 1,426.8、Vendor B 1,470.6、Vendor C 1,494.6 千美元（测算），A 最低，比 B 低 43.7、比 C 低 67.8。名义合计 A 1,615、B 1,671、C 1,675。建议：以 Vendor A 为首选，但附三项条件：① 在签约前完成对其仅有的两个同规模客户的深度参考访谈与一次架构评审，若无法完成则转向 Vendor C；② 合同写入可用性 SLA 与停机服务抵扣，因为 A 的优势建立在年停机成本 25 的假设上——若 A 的停机成本升至 50，其 NPV 升至约 1,491，与 C 几乎持平（敏感性表情景 2）；③ 锁定三年许可价格。不选 Vendor B 的原因：名义许可费最低，但许可价逐年上涨、迁移费 50、年支持 65 与停机成本 80 使其 NPV 反而高于 A；且停机成本假设最不确定——只有当 B 的年停机成本降至约 63 以下（敏感性 B26 盈亏平衡点，测算）才会低于 A，而 B 的当前假设为 80。Vendor C 的非价格优势明显：六个同规模客户、最低停机成本 10、Y3 残值 120，是风险最低的选项；若运营对 A 的客户基础顾虑无法通过参考访谈消除，C 是可接受的次选，代价是 NPV 高出约 67.8。折现率在 6%–12% 区间内不改变 A 最低的排序（敏感性情景 3）。</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rFonts w:ascii="Microsoft YaHei" w:hAnsi="Microsoft YaHei" w:eastAsia="Microsoft YaHei"/>
                <w:b/>
                <w:sz w:val="19"/>
              </w:rPr>
              <w:t>供应商</w:t>
            </w:r>
          </w:p>
        </w:tc>
        <w:tc>
          <w:tcPr>
            <w:tcW w:type="dxa" w:w="1425"/>
            <w:shd w:val="clear" w:color="auto" w:fill="D9E2F3"/>
          </w:tcPr>
          <w:p>
            <w:r/>
            <w:r>
              <w:rPr>
                <w:rFonts w:ascii="Microsoft YaHei" w:hAnsi="Microsoft YaHei" w:eastAsia="Microsoft YaHei"/>
                <w:b/>
                <w:sz w:val="19"/>
              </w:rPr>
              <w:t>t0</w:t>
            </w:r>
          </w:p>
        </w:tc>
        <w:tc>
          <w:tcPr>
            <w:tcW w:type="dxa" w:w="1425"/>
            <w:shd w:val="clear" w:color="auto" w:fill="D9E2F3"/>
          </w:tcPr>
          <w:p>
            <w:r/>
            <w:r>
              <w:rPr>
                <w:rFonts w:ascii="Microsoft YaHei" w:hAnsi="Microsoft YaHei" w:eastAsia="Microsoft YaHei"/>
                <w:b/>
                <w:sz w:val="19"/>
              </w:rPr>
              <w:t>Y1</w:t>
            </w:r>
          </w:p>
        </w:tc>
        <w:tc>
          <w:tcPr>
            <w:tcW w:type="dxa" w:w="1425"/>
            <w:shd w:val="clear" w:color="auto" w:fill="D9E2F3"/>
          </w:tcPr>
          <w:p>
            <w:r/>
            <w:r>
              <w:rPr>
                <w:rFonts w:ascii="Microsoft YaHei" w:hAnsi="Microsoft YaHei" w:eastAsia="Microsoft YaHei"/>
                <w:b/>
                <w:sz w:val="19"/>
              </w:rPr>
              <w:t>Y2</w:t>
            </w:r>
          </w:p>
        </w:tc>
        <w:tc>
          <w:tcPr>
            <w:tcW w:type="dxa" w:w="1425"/>
            <w:shd w:val="clear" w:color="auto" w:fill="D9E2F3"/>
          </w:tcPr>
          <w:p>
            <w:r/>
            <w:r>
              <w:rPr>
                <w:rFonts w:ascii="Microsoft YaHei" w:hAnsi="Microsoft YaHei" w:eastAsia="Microsoft YaHei"/>
                <w:b/>
                <w:sz w:val="19"/>
              </w:rPr>
              <w:t>Y3</w:t>
            </w:r>
          </w:p>
        </w:tc>
        <w:tc>
          <w:tcPr>
            <w:tcW w:type="dxa" w:w="1425"/>
            <w:shd w:val="clear" w:color="auto" w:fill="D9E2F3"/>
          </w:tcPr>
          <w:p>
            <w:r/>
            <w:r>
              <w:rPr>
                <w:rFonts w:ascii="Microsoft YaHei" w:hAnsi="Microsoft YaHei" w:eastAsia="Microsoft YaHei"/>
                <w:b/>
                <w:sz w:val="19"/>
              </w:rPr>
              <w:t>名义合计</w:t>
            </w:r>
          </w:p>
        </w:tc>
        <w:tc>
          <w:tcPr>
            <w:tcW w:type="dxa" w:w="1425"/>
            <w:shd w:val="clear" w:color="auto" w:fill="D9E2F3"/>
          </w:tcPr>
          <w:p>
            <w:r/>
            <w:r>
              <w:rPr>
                <w:rFonts w:ascii="Microsoft YaHei" w:hAnsi="Microsoft YaHei" w:eastAsia="Microsoft YaHei"/>
                <w:b/>
                <w:sz w:val="19"/>
              </w:rPr>
              <w:t>NPV@8%</w:t>
            </w:r>
          </w:p>
        </w:tc>
      </w:tr>
      <w:tr>
        <w:tc>
          <w:tcPr>
            <w:tcW w:type="dxa" w:w="1425"/>
          </w:tcPr>
          <w:p>
            <w:r/>
            <w:r>
              <w:rPr>
                <w:rFonts w:ascii="Microsoft YaHei" w:hAnsi="Microsoft YaHei" w:eastAsia="Microsoft YaHei"/>
                <w:sz w:val="19"/>
              </w:rPr>
              <w:t>Vendor A</w:t>
            </w:r>
          </w:p>
        </w:tc>
        <w:tc>
          <w:tcPr>
            <w:tcW w:type="dxa" w:w="1425"/>
          </w:tcPr>
          <w:p>
            <w:r/>
            <w:r>
              <w:rPr>
                <w:rFonts w:ascii="Microsoft YaHei" w:hAnsi="Microsoft YaHei" w:eastAsia="Microsoft YaHei"/>
                <w:sz w:val="19"/>
              </w:rPr>
              <w:t>280</w:t>
            </w:r>
          </w:p>
        </w:tc>
        <w:tc>
          <w:tcPr>
            <w:tcW w:type="dxa" w:w="1425"/>
          </w:tcPr>
          <w:p>
            <w:r/>
            <w:r>
              <w:rPr>
                <w:rFonts w:ascii="Microsoft YaHei" w:hAnsi="Microsoft YaHei" w:eastAsia="Microsoft YaHei"/>
                <w:sz w:val="19"/>
              </w:rPr>
              <w:t>445</w:t>
            </w:r>
          </w:p>
        </w:tc>
        <w:tc>
          <w:tcPr>
            <w:tcW w:type="dxa" w:w="1425"/>
          </w:tcPr>
          <w:p>
            <w:r/>
            <w:r>
              <w:rPr>
                <w:rFonts w:ascii="Microsoft YaHei" w:hAnsi="Microsoft YaHei" w:eastAsia="Microsoft YaHei"/>
                <w:sz w:val="19"/>
              </w:rPr>
              <w:t>445</w:t>
            </w:r>
          </w:p>
        </w:tc>
        <w:tc>
          <w:tcPr>
            <w:tcW w:type="dxa" w:w="1425"/>
          </w:tcPr>
          <w:p>
            <w:r/>
            <w:r>
              <w:rPr>
                <w:rFonts w:ascii="Microsoft YaHei" w:hAnsi="Microsoft YaHei" w:eastAsia="Microsoft YaHei"/>
                <w:sz w:val="19"/>
              </w:rPr>
              <w:t>445</w:t>
            </w:r>
          </w:p>
        </w:tc>
        <w:tc>
          <w:tcPr>
            <w:tcW w:type="dxa" w:w="1425"/>
          </w:tcPr>
          <w:p>
            <w:r/>
            <w:r>
              <w:rPr>
                <w:rFonts w:ascii="Microsoft YaHei" w:hAnsi="Microsoft YaHei" w:eastAsia="Microsoft YaHei"/>
                <w:sz w:val="19"/>
              </w:rPr>
              <w:t>1,615</w:t>
            </w:r>
          </w:p>
        </w:tc>
        <w:tc>
          <w:tcPr>
            <w:tcW w:type="dxa" w:w="1425"/>
          </w:tcPr>
          <w:p>
            <w:r/>
            <w:r>
              <w:rPr>
                <w:rFonts w:ascii="Microsoft YaHei" w:hAnsi="Microsoft YaHei" w:eastAsia="Microsoft YaHei"/>
                <w:sz w:val="19"/>
              </w:rPr>
              <w:t>1,426.8</w:t>
            </w:r>
          </w:p>
        </w:tc>
      </w:tr>
      <w:tr>
        <w:tc>
          <w:tcPr>
            <w:tcW w:type="dxa" w:w="1425"/>
          </w:tcPr>
          <w:p>
            <w:r/>
            <w:r>
              <w:rPr>
                <w:rFonts w:ascii="Microsoft YaHei" w:hAnsi="Microsoft YaHei" w:eastAsia="Microsoft YaHei"/>
                <w:sz w:val="19"/>
              </w:rPr>
              <w:t>Vendor B</w:t>
            </w:r>
          </w:p>
        </w:tc>
        <w:tc>
          <w:tcPr>
            <w:tcW w:type="dxa" w:w="1425"/>
          </w:tcPr>
          <w:p>
            <w:r/>
            <w:r>
              <w:rPr>
                <w:rFonts w:ascii="Microsoft YaHei" w:hAnsi="Microsoft YaHei" w:eastAsia="Microsoft YaHei"/>
                <w:sz w:val="19"/>
              </w:rPr>
              <w:t>240</w:t>
            </w:r>
          </w:p>
        </w:tc>
        <w:tc>
          <w:tcPr>
            <w:tcW w:type="dxa" w:w="1425"/>
          </w:tcPr>
          <w:p>
            <w:r/>
            <w:r>
              <w:rPr>
                <w:rFonts w:ascii="Microsoft YaHei" w:hAnsi="Microsoft YaHei" w:eastAsia="Microsoft YaHei"/>
                <w:sz w:val="19"/>
              </w:rPr>
              <w:t>495</w:t>
            </w:r>
          </w:p>
        </w:tc>
        <w:tc>
          <w:tcPr>
            <w:tcW w:type="dxa" w:w="1425"/>
          </w:tcPr>
          <w:p>
            <w:r/>
            <w:r>
              <w:rPr>
                <w:rFonts w:ascii="Microsoft YaHei" w:hAnsi="Microsoft YaHei" w:eastAsia="Microsoft YaHei"/>
                <w:sz w:val="19"/>
              </w:rPr>
              <w:t>460</w:t>
            </w:r>
          </w:p>
        </w:tc>
        <w:tc>
          <w:tcPr>
            <w:tcW w:type="dxa" w:w="1425"/>
          </w:tcPr>
          <w:p>
            <w:r/>
            <w:r>
              <w:rPr>
                <w:rFonts w:ascii="Microsoft YaHei" w:hAnsi="Microsoft YaHei" w:eastAsia="Microsoft YaHei"/>
                <w:sz w:val="19"/>
              </w:rPr>
              <w:t>476</w:t>
            </w:r>
          </w:p>
        </w:tc>
        <w:tc>
          <w:tcPr>
            <w:tcW w:type="dxa" w:w="1425"/>
          </w:tcPr>
          <w:p>
            <w:r/>
            <w:r>
              <w:rPr>
                <w:rFonts w:ascii="Microsoft YaHei" w:hAnsi="Microsoft YaHei" w:eastAsia="Microsoft YaHei"/>
                <w:sz w:val="19"/>
              </w:rPr>
              <w:t>1,671</w:t>
            </w:r>
          </w:p>
        </w:tc>
        <w:tc>
          <w:tcPr>
            <w:tcW w:type="dxa" w:w="1425"/>
          </w:tcPr>
          <w:p>
            <w:r/>
            <w:r>
              <w:rPr>
                <w:rFonts w:ascii="Microsoft YaHei" w:hAnsi="Microsoft YaHei" w:eastAsia="Microsoft YaHei"/>
                <w:sz w:val="19"/>
              </w:rPr>
              <w:t>1,470.6</w:t>
            </w:r>
          </w:p>
        </w:tc>
      </w:tr>
      <w:tr>
        <w:tc>
          <w:tcPr>
            <w:tcW w:type="dxa" w:w="1425"/>
          </w:tcPr>
          <w:p>
            <w:r/>
            <w:r>
              <w:rPr>
                <w:rFonts w:ascii="Microsoft YaHei" w:hAnsi="Microsoft YaHei" w:eastAsia="Microsoft YaHei"/>
                <w:sz w:val="19"/>
              </w:rPr>
              <w:t>Vendor C</w:t>
            </w:r>
          </w:p>
        </w:tc>
        <w:tc>
          <w:tcPr>
            <w:tcW w:type="dxa" w:w="1425"/>
          </w:tcPr>
          <w:p>
            <w:r/>
            <w:r>
              <w:rPr>
                <w:rFonts w:ascii="Microsoft YaHei" w:hAnsi="Microsoft YaHei" w:eastAsia="Microsoft YaHei"/>
                <w:sz w:val="19"/>
              </w:rPr>
              <w:t>340</w:t>
            </w:r>
          </w:p>
        </w:tc>
        <w:tc>
          <w:tcPr>
            <w:tcW w:type="dxa" w:w="1425"/>
          </w:tcPr>
          <w:p>
            <w:r/>
            <w:r>
              <w:rPr>
                <w:rFonts w:ascii="Microsoft YaHei" w:hAnsi="Microsoft YaHei" w:eastAsia="Microsoft YaHei"/>
                <w:sz w:val="19"/>
              </w:rPr>
              <w:t>485</w:t>
            </w:r>
          </w:p>
        </w:tc>
        <w:tc>
          <w:tcPr>
            <w:tcW w:type="dxa" w:w="1425"/>
          </w:tcPr>
          <w:p>
            <w:r/>
            <w:r>
              <w:rPr>
                <w:rFonts w:ascii="Microsoft YaHei" w:hAnsi="Microsoft YaHei" w:eastAsia="Microsoft YaHei"/>
                <w:sz w:val="19"/>
              </w:rPr>
              <w:t>485</w:t>
            </w:r>
          </w:p>
        </w:tc>
        <w:tc>
          <w:tcPr>
            <w:tcW w:type="dxa" w:w="1425"/>
          </w:tcPr>
          <w:p>
            <w:r/>
            <w:r>
              <w:rPr>
                <w:rFonts w:ascii="Microsoft YaHei" w:hAnsi="Microsoft YaHei" w:eastAsia="Microsoft YaHei"/>
                <w:sz w:val="19"/>
              </w:rPr>
              <w:t>365</w:t>
            </w:r>
          </w:p>
        </w:tc>
        <w:tc>
          <w:tcPr>
            <w:tcW w:type="dxa" w:w="1425"/>
          </w:tcPr>
          <w:p>
            <w:r/>
            <w:r>
              <w:rPr>
                <w:rFonts w:ascii="Microsoft YaHei" w:hAnsi="Microsoft YaHei" w:eastAsia="Microsoft YaHei"/>
                <w:sz w:val="19"/>
              </w:rPr>
              <w:t>1,675</w:t>
            </w:r>
          </w:p>
        </w:tc>
        <w:tc>
          <w:tcPr>
            <w:tcW w:type="dxa" w:w="1425"/>
          </w:tcPr>
          <w:p>
            <w:r/>
            <w:r>
              <w:rPr>
                <w:rFonts w:ascii="Microsoft YaHei" w:hAnsi="Microsoft YaHei" w:eastAsia="Microsoft YaHei"/>
                <w:sz w:val="19"/>
              </w:rPr>
              <w:t>1,494.6</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