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sz w:val="32"/>
        </w:rPr>
        <w:t>MASTER SERVICES AGREEMENT</w:t>
      </w:r>
    </w:p>
    <w:p>
      <w:pPr>
        <w:spacing w:after="240"/>
      </w:pPr>
      <w:r>
        <w:rPr>
          <w:rFonts w:ascii="Calibri" w:hAnsi="Calibri" w:eastAsia="Microsoft YaHei"/>
          <w:b/>
          <w:sz w:val="22"/>
        </w:rPr>
        <w:t>(Working draft for counsel review — not for signature)</w:t>
      </w:r>
    </w:p>
    <w:p>
      <w:pPr>
        <w:spacing w:after="160"/>
      </w:pPr>
      <w:r>
        <w:rPr>
          <w:rFonts w:ascii="Calibri" w:hAnsi="Calibri" w:eastAsia="Microsoft YaHei"/>
          <w:b w:val="0"/>
          <w:sz w:val="22"/>
        </w:rPr>
        <w:t>This Master Services Agreement (“Agreement”) is made as of the Effective Date [TO CONFIRM] between Orion Analytics Ltd. (“Supplier”) and Northstar Retail Inc. (“Customer”). Addresses and notice emails: [TO CONFIRM].</w:t>
      </w:r>
    </w:p>
    <w:p>
      <w:pPr>
        <w:spacing w:after="160"/>
      </w:pPr>
      <w:r>
        <w:rPr>
          <w:rFonts w:ascii="Calibri" w:hAnsi="Calibri" w:eastAsia="Microsoft YaHei"/>
          <w:b w:val="0"/>
          <w:sz w:val="22"/>
        </w:rPr>
        <w:t>This is a working draft only. It must be reviewed by qualified counsel before signing. Data protection, insurance, export control and similar topics are not agreed and are not stated as agreed.</w:t>
      </w:r>
    </w:p>
    <w:p>
      <w:pPr>
        <w:spacing w:after="120"/>
      </w:pPr>
      <w:r>
        <w:rPr>
          <w:rFonts w:ascii="Calibri" w:hAnsi="Calibri" w:eastAsia="Microsoft YaHei"/>
          <w:b/>
          <w:sz w:val="26"/>
        </w:rPr>
        <w:t>1. Definitions</w:t>
      </w:r>
    </w:p>
    <w:p>
      <w:pPr>
        <w:spacing w:after="200"/>
      </w:pPr>
      <w:r>
        <w:rPr>
          <w:rFonts w:ascii="Calibri" w:hAnsi="Calibri" w:eastAsia="Microsoft YaHei"/>
          <w:b w:val="0"/>
          <w:sz w:val="22"/>
        </w:rPr>
        <w:t>1.1 “SOW” means a signed Statement of Work describing data analytics configuration and support.</w:t>
        <w:br/>
        <w:t>1.2 “Deliverables” means items specifically commissioned under an SOW.</w:t>
        <w:br/>
        <w:t>1.3 “Background IP” means IP owned or licensed by a party independently of this Agreement.</w:t>
        <w:br/>
        <w:t>1.4 “Confidential Information” has the meaning in Section 8.</w:t>
        <w:br/>
        <w:t>1.5 Other capitalized terms have the meanings given in the term sheet or the Section where first used.</w:t>
      </w:r>
    </w:p>
    <w:p>
      <w:pPr>
        <w:spacing w:after="120"/>
      </w:pPr>
      <w:r>
        <w:rPr>
          <w:rFonts w:ascii="Calibri" w:hAnsi="Calibri" w:eastAsia="Microsoft YaHei"/>
          <w:b/>
          <w:sz w:val="26"/>
        </w:rPr>
        <w:t>2. Structure and precedence</w:t>
      </w:r>
    </w:p>
    <w:p>
      <w:pPr>
        <w:spacing w:after="200"/>
      </w:pPr>
      <w:r>
        <w:rPr>
          <w:rFonts w:ascii="Calibri" w:hAnsi="Calibri" w:eastAsia="Microsoft YaHei"/>
          <w:b w:val="0"/>
          <w:sz w:val="22"/>
        </w:rPr>
        <w:t>Services are provided under this Agreement and signed SOWs. If an SOW conflicts with this Agreement on commercial details (fees, timeline, scope) the SOW governs for that engagement; this Agreement governs all other terms. No SOW amends Sections 7–13 unless the SOW expressly identifies the Section.</w:t>
      </w:r>
    </w:p>
    <w:p>
      <w:pPr>
        <w:spacing w:after="120"/>
      </w:pPr>
      <w:r>
        <w:rPr>
          <w:rFonts w:ascii="Calibri" w:hAnsi="Calibri" w:eastAsia="Microsoft YaHei"/>
          <w:b/>
          <w:sz w:val="26"/>
        </w:rPr>
        <w:t>3. Services</w:t>
      </w:r>
    </w:p>
    <w:p>
      <w:pPr>
        <w:spacing w:after="200"/>
      </w:pPr>
      <w:r>
        <w:rPr>
          <w:rFonts w:ascii="Calibri" w:hAnsi="Calibri" w:eastAsia="Microsoft YaHei"/>
          <w:b w:val="0"/>
          <w:sz w:val="22"/>
        </w:rPr>
        <w:t>Supplier shall perform data analytics configuration and support as described in signed SOWs. Supplier shall perform in a professional manner consistent with Section 9.</w:t>
      </w:r>
    </w:p>
    <w:p>
      <w:pPr>
        <w:spacing w:after="120"/>
      </w:pPr>
      <w:r>
        <w:rPr>
          <w:rFonts w:ascii="Calibri" w:hAnsi="Calibri" w:eastAsia="Microsoft YaHei"/>
          <w:b/>
          <w:sz w:val="26"/>
        </w:rPr>
        <w:t>4. Term and renewal</w:t>
      </w:r>
    </w:p>
    <w:p>
      <w:pPr>
        <w:spacing w:after="200"/>
      </w:pPr>
      <w:r>
        <w:rPr>
          <w:rFonts w:ascii="Calibri" w:hAnsi="Calibri" w:eastAsia="Microsoft YaHei"/>
          <w:b w:val="0"/>
          <w:sz w:val="22"/>
        </w:rPr>
        <w:t>The term is two (2) years from the Effective Date [TO CONFIRM], then automatic successive one-year renewals unless either party gives at least sixty (60) days’ notice of non-renewal before the then-current term ends.</w:t>
      </w:r>
    </w:p>
    <w:p>
      <w:pPr>
        <w:spacing w:after="120"/>
      </w:pPr>
      <w:r>
        <w:rPr>
          <w:rFonts w:ascii="Calibri" w:hAnsi="Calibri" w:eastAsia="Microsoft YaHei"/>
          <w:b/>
          <w:sz w:val="26"/>
        </w:rPr>
        <w:t>5. SOWs and change control</w:t>
      </w:r>
    </w:p>
    <w:p>
      <w:pPr>
        <w:spacing w:after="200"/>
      </w:pPr>
      <w:r>
        <w:rPr>
          <w:rFonts w:ascii="Calibri" w:hAnsi="Calibri" w:eastAsia="Microsoft YaHei"/>
          <w:b w:val="0"/>
          <w:sz w:val="22"/>
        </w:rPr>
        <w:t>5.1 Each SOW shall set fees, scope and timeline.</w:t>
        <w:br/>
        <w:t>5.2 Changes to scope, timeline or fees require a written Change Order signed by both parties. Verbal instructions do not amend an SOW.</w:t>
      </w:r>
    </w:p>
    <w:p>
      <w:pPr>
        <w:spacing w:after="120"/>
      </w:pPr>
      <w:r>
        <w:rPr>
          <w:rFonts w:ascii="Calibri" w:hAnsi="Calibri" w:eastAsia="Microsoft YaHei"/>
          <w:b/>
          <w:sz w:val="26"/>
        </w:rPr>
        <w:t>6. Fees and payment</w:t>
      </w:r>
    </w:p>
    <w:p>
      <w:pPr>
        <w:spacing w:after="200"/>
      </w:pPr>
      <w:r>
        <w:rPr>
          <w:rFonts w:ascii="Calibri" w:hAnsi="Calibri" w:eastAsia="Microsoft YaHei"/>
          <w:b w:val="0"/>
          <w:sz w:val="22"/>
        </w:rPr>
        <w:t>6.1 Fees are as stated in each SOW.</w:t>
        <w:br/>
        <w:t>6.2 Invoices are issued monthly in arrears. Amounts are due thirty (30) days after invoice date.</w:t>
        <w:br/>
        <w:t>6.3 Disputed amounts must be raised within fifteen (15) days of invoice date. Timely disputed amounts may be withheld pending resolution; undisputed amounts remain payable.</w:t>
        <w:br/>
        <w:t>6.4 Taxes, late-interest rate and invoice currency: [TO CONFIRM].</w:t>
      </w:r>
    </w:p>
    <w:p>
      <w:pPr>
        <w:spacing w:after="120"/>
      </w:pPr>
      <w:r>
        <w:rPr>
          <w:rFonts w:ascii="Calibri" w:hAnsi="Calibri" w:eastAsia="Microsoft YaHei"/>
          <w:b/>
          <w:sz w:val="26"/>
        </w:rPr>
        <w:t>7. Intellectual property</w:t>
      </w:r>
    </w:p>
    <w:p>
      <w:pPr>
        <w:spacing w:after="200"/>
      </w:pPr>
      <w:r>
        <w:rPr>
          <w:rFonts w:ascii="Calibri" w:hAnsi="Calibri" w:eastAsia="Microsoft YaHei"/>
          <w:b w:val="0"/>
          <w:sz w:val="22"/>
        </w:rPr>
        <w:t>7.1 Each party retains its Background IP.</w:t>
        <w:br/>
        <w:t>7.2 Upon full payment of the applicable SOW fees, Customer owns specifically commissioned Deliverables.</w:t>
        <w:br/>
        <w:t>7.3 Supplier retains general tools, templates and know-how. To the extent Deliverables embed Supplier Background IP, Supplier grants Customer a perpetual, non-exclusive, internal-use license to that embedded Background IP.</w:t>
        <w:br/>
        <w:t>7.4 Except as stated, neither party assigns residual know-how that is not a Deliverable.</w:t>
      </w:r>
    </w:p>
    <w:p>
      <w:pPr>
        <w:spacing w:after="120"/>
      </w:pPr>
      <w:r>
        <w:rPr>
          <w:rFonts w:ascii="Calibri" w:hAnsi="Calibri" w:eastAsia="Microsoft YaHei"/>
          <w:b/>
          <w:sz w:val="26"/>
        </w:rPr>
        <w:t>8. Confidentiality</w:t>
      </w:r>
    </w:p>
    <w:p>
      <w:pPr>
        <w:spacing w:after="200"/>
      </w:pPr>
      <w:r>
        <w:rPr>
          <w:rFonts w:ascii="Calibri" w:hAnsi="Calibri" w:eastAsia="Microsoft YaHei"/>
          <w:b w:val="0"/>
          <w:sz w:val="22"/>
        </w:rPr>
        <w:t>8.1 Mutual. Each party shall protect the other party’s Confidential Information for three (3) years after disclosure; trade secrets shall be protected while legally protected as trade secrets.</w:t>
        <w:br/>
        <w:t>8.2 Use is limited to performing this Agreement.</w:t>
        <w:br/>
        <w:t>8.3 Standard exclusions (public, previously known, independently developed, lawfully received from a third party) apply. Compelled disclosure: [TO CONFIRM process].</w:t>
        <w:br/>
        <w:t>8.4 Definition of Confidential Information: [TO CONFIRM if marking required].</w:t>
      </w:r>
    </w:p>
    <w:p>
      <w:pPr>
        <w:spacing w:after="120"/>
      </w:pPr>
      <w:r>
        <w:rPr>
          <w:rFonts w:ascii="Calibri" w:hAnsi="Calibri" w:eastAsia="Microsoft YaHei"/>
          <w:b/>
          <w:sz w:val="26"/>
        </w:rPr>
        <w:t>9. Warranty</w:t>
      </w:r>
    </w:p>
    <w:p>
      <w:pPr>
        <w:spacing w:after="200"/>
      </w:pPr>
      <w:r>
        <w:rPr>
          <w:rFonts w:ascii="Calibri" w:hAnsi="Calibri" w:eastAsia="Microsoft YaHei"/>
          <w:b w:val="0"/>
          <w:sz w:val="22"/>
        </w:rPr>
        <w:t>9.1 Supplier warrants that services will be performed professionally.</w:t>
        <w:br/>
        <w:t>9.2 Customer’s exclusive remedy for breach of this Section 9 is re-performance, provided Customer notifies Supplier within thirty (30) days after the non-conforming services were performed.</w:t>
        <w:br/>
        <w:t>9.3 No other warranty is agreed in the term sheet. Fitness, merchantability and error-free operation are not stated as agreed.</w:t>
      </w:r>
    </w:p>
    <w:p>
      <w:pPr>
        <w:spacing w:after="120"/>
      </w:pPr>
      <w:r>
        <w:rPr>
          <w:rFonts w:ascii="Calibri" w:hAnsi="Calibri" w:eastAsia="Microsoft YaHei"/>
          <w:b/>
          <w:sz w:val="26"/>
        </w:rPr>
        <w:t>10. Indemnity</w:t>
      </w:r>
    </w:p>
    <w:p>
      <w:pPr>
        <w:spacing w:after="200"/>
      </w:pPr>
      <w:r>
        <w:rPr>
          <w:rFonts w:ascii="Calibri" w:hAnsi="Calibri" w:eastAsia="Microsoft YaHei"/>
          <w:b w:val="0"/>
          <w:sz w:val="22"/>
        </w:rPr>
        <w:t>10.1 Supplier shall defend Customer against third-party claims that Deliverables infringe IP, and pay finally awarded damages, subject to Section 11.</w:t>
        <w:br/>
        <w:t>10.2 Exclusions: Customer modifications; combinations not supplied by Supplier; use outside documentation.</w:t>
        <w:br/>
        <w:t>10.3 Customer shall give prompt notice and reasonable cooperation. Defense-control mechanics are [TO CONFIRM] because they were not in the term sheet.</w:t>
        <w:br/>
        <w:t>10.4 No Customer indemnity was agreed.</w:t>
      </w:r>
    </w:p>
    <w:p>
      <w:pPr>
        <w:spacing w:after="120"/>
      </w:pPr>
      <w:r>
        <w:rPr>
          <w:rFonts w:ascii="Calibri" w:hAnsi="Calibri" w:eastAsia="Microsoft YaHei"/>
          <w:b/>
          <w:sz w:val="26"/>
        </w:rPr>
        <w:t>11. Liability</w:t>
      </w:r>
    </w:p>
    <w:p>
      <w:pPr>
        <w:spacing w:after="200"/>
      </w:pPr>
      <w:r>
        <w:rPr>
          <w:rFonts w:ascii="Calibri" w:hAnsi="Calibri" w:eastAsia="Microsoft YaHei"/>
          <w:b w:val="0"/>
          <w:sz w:val="22"/>
        </w:rPr>
        <w:t>11.1 Each party’s aggregate liability under this Agreement is capped at the fees paid or payable in the twelve (12) months preceding the claim.</w:t>
        <w:br/>
        <w:t>11.2 The cap does not apply to: fraud; wilful misconduct; confidentiality breach; or IP infringement indemnity under Section 10.</w:t>
        <w:br/>
        <w:t>11.3 Neither party is liable for indirect or consequential loss, except amounts payable under an indemnity.</w:t>
        <w:br/>
        <w:t>11.4 Nothing in this Section excludes liability that cannot be excluded under applicable law [TO CONFIRM counsel].</w:t>
      </w:r>
    </w:p>
    <w:p>
      <w:pPr>
        <w:spacing w:after="120"/>
      </w:pPr>
      <w:r>
        <w:rPr>
          <w:rFonts w:ascii="Calibri" w:hAnsi="Calibri" w:eastAsia="Microsoft YaHei"/>
          <w:b/>
          <w:sz w:val="26"/>
        </w:rPr>
        <w:t>12. Termination</w:t>
      </w:r>
    </w:p>
    <w:p>
      <w:pPr>
        <w:spacing w:after="200"/>
      </w:pPr>
      <w:r>
        <w:rPr>
          <w:rFonts w:ascii="Calibri" w:hAnsi="Calibri" w:eastAsia="Microsoft YaHei"/>
          <w:b w:val="0"/>
          <w:sz w:val="22"/>
        </w:rPr>
        <w:t>12.1 Either party may terminate this Agreement or an affected SOW for material breach if the breach remains uncured thirty (30) days after written notice.</w:t>
        <w:br/>
        <w:t>12.2 Either party may terminate immediately for insolvency.</w:t>
        <w:br/>
        <w:t>12.3 Customer may terminate an SOW for convenience with thirty (30) days’ notice, and shall pay committed fees plus non-cancellable costs.</w:t>
        <w:br/>
        <w:t>12.4 Survival: Sections 7, 8, 10, 11, 13 and accrued payment obligations survive.</w:t>
      </w:r>
    </w:p>
    <w:p>
      <w:pPr>
        <w:spacing w:after="120"/>
      </w:pPr>
      <w:r>
        <w:rPr>
          <w:rFonts w:ascii="Calibri" w:hAnsi="Calibri" w:eastAsia="Microsoft YaHei"/>
          <w:b/>
          <w:sz w:val="26"/>
        </w:rPr>
        <w:t>13. Governing law and disputes</w:t>
      </w:r>
    </w:p>
    <w:p>
      <w:pPr>
        <w:spacing w:after="200"/>
      </w:pPr>
      <w:r>
        <w:rPr>
          <w:rFonts w:ascii="Calibri" w:hAnsi="Calibri" w:eastAsia="Microsoft YaHei"/>
          <w:b w:val="0"/>
          <w:sz w:val="22"/>
        </w:rPr>
        <w:t>13.1 Singapore law.</w:t>
        <w:br/>
        <w:t>13.2 Disputes shall be escalated to the parties’ executives for fifteen (15) days.</w:t>
        <w:br/>
        <w:t>13.3 Thereafter, disputes shall be finally resolved by SIAC arbitration in Singapore, English language, one arbitrator.</w:t>
      </w:r>
    </w:p>
    <w:p>
      <w:pPr>
        <w:spacing w:after="120"/>
      </w:pPr>
      <w:r>
        <w:rPr>
          <w:rFonts w:ascii="Calibri" w:hAnsi="Calibri" w:eastAsia="Microsoft YaHei"/>
          <w:b/>
          <w:sz w:val="26"/>
        </w:rPr>
        <w:t>14. Notices</w:t>
      </w:r>
    </w:p>
    <w:p>
      <w:pPr>
        <w:spacing w:after="200"/>
      </w:pPr>
      <w:r>
        <w:rPr>
          <w:rFonts w:ascii="Calibri" w:hAnsi="Calibri" w:eastAsia="Microsoft YaHei"/>
          <w:b w:val="0"/>
          <w:sz w:val="22"/>
        </w:rPr>
        <w:t>Notices under this Agreement shall be in writing to the emails/addresses [TO CONFIRM].</w:t>
      </w:r>
    </w:p>
    <w:p>
      <w:pPr>
        <w:spacing w:after="120"/>
      </w:pPr>
      <w:r>
        <w:rPr>
          <w:rFonts w:ascii="Calibri" w:hAnsi="Calibri" w:eastAsia="Microsoft YaHei"/>
          <w:b/>
          <w:sz w:val="26"/>
        </w:rPr>
        <w:t>15. General</w:t>
      </w:r>
    </w:p>
    <w:p>
      <w:pPr>
        <w:spacing w:after="200"/>
      </w:pPr>
      <w:r>
        <w:rPr>
          <w:rFonts w:ascii="Calibri" w:hAnsi="Calibri" w:eastAsia="Microsoft YaHei"/>
          <w:b w:val="0"/>
          <w:sz w:val="22"/>
        </w:rPr>
        <w:t>15.1 Assignment is [TO CONFIRM] (term sheet silent).</w:t>
        <w:br/>
        <w:t>15.2 This Agreement and signed SOWs are the entire agreement on the subject matter.</w:t>
        <w:br/>
        <w:t>15.3 Amendments must be in writing and signed.</w:t>
        <w:br/>
        <w:t>15.4 Counterparts and electronic signatures permitted [TO CONFIRM].</w:t>
      </w:r>
    </w:p>
    <w:p>
      <w:pPr>
        <w:spacing w:after="120"/>
      </w:pPr>
      <w:r>
        <w:rPr>
          <w:rFonts w:ascii="Calibri" w:hAnsi="Calibri" w:eastAsia="Microsoft YaHei"/>
          <w:b/>
          <w:sz w:val="26"/>
        </w:rPr>
        <w:t>16. Records and audit of fees</w:t>
      </w:r>
    </w:p>
    <w:p>
      <w:pPr>
        <w:spacing w:after="200"/>
      </w:pPr>
      <w:r>
        <w:rPr>
          <w:rFonts w:ascii="Calibri" w:hAnsi="Calibri" w:eastAsia="Microsoft YaHei"/>
          <w:b w:val="0"/>
          <w:sz w:val="22"/>
        </w:rPr>
        <w:t>Supplier shall keep reasonable records supporting invoices under each SOW for twelve (12) months after the SOW ends. Customer may inspect those fee records on reasonable notice, not more than once per calendar year. This Section does not create a security audit right.</w:t>
      </w:r>
    </w:p>
    <w:p>
      <w:pPr>
        <w:spacing w:after="120"/>
      </w:pPr>
      <w:r>
        <w:rPr>
          <w:rFonts w:ascii="Calibri" w:hAnsi="Calibri" w:eastAsia="Microsoft YaHei"/>
          <w:b/>
          <w:sz w:val="26"/>
        </w:rPr>
        <w:t>17–22. Not agreed</w:t>
      </w:r>
    </w:p>
    <w:p>
      <w:pPr>
        <w:spacing w:after="200"/>
      </w:pPr>
      <w:r>
        <w:rPr>
          <w:rFonts w:ascii="Calibri" w:hAnsi="Calibri" w:eastAsia="Microsoft YaHei"/>
          <w:b w:val="0"/>
          <w:sz w:val="22"/>
        </w:rPr>
        <w:t>Non-solicitation, force majeure, publicity, data protection addendum, insurance limits and export controls are NOT agreed and are not granted by this draft. If Customer requires processing of personal data, the parties shall negotiate a separate addendum before such processing starts.</w:t>
      </w:r>
    </w:p>
    <w:p>
      <w:pPr>
        <w:spacing w:after="120"/>
      </w:pPr>
      <w:r>
        <w:rPr>
          <w:rFonts w:ascii="Calibri" w:hAnsi="Calibri" w:eastAsia="Microsoft YaHei"/>
          <w:b/>
          <w:sz w:val="26"/>
        </w:rPr>
        <w:t>Items to confirm</w:t>
      </w:r>
    </w:p>
    <w:p>
      <w:pPr>
        <w:spacing w:after="200"/>
      </w:pPr>
      <w:r>
        <w:rPr>
          <w:rFonts w:ascii="Calibri" w:hAnsi="Calibri" w:eastAsia="Microsoft YaHei"/>
          <w:b w:val="0"/>
          <w:sz w:val="22"/>
        </w:rPr>
        <w:t>Effective Date; addresses; notice emails; DPA; insurance; invoice currency/tax/late interest; confidentiality marking; assignment; indemnity defense control; electronic signature protocol.</w:t>
      </w:r>
    </w:p>
    <w:p>
      <w:pPr>
        <w:spacing w:after="160"/>
      </w:pPr>
      <w:r>
        <w:rPr>
          <w:rFonts w:ascii="Calibri" w:hAnsi="Calibri" w:eastAsia="Microsoft YaHei"/>
          <w:b/>
          <w:sz w:val="26"/>
        </w:rPr>
        <w:t>Signature blocks</w:t>
      </w:r>
    </w:p>
    <w:p>
      <w:pPr>
        <w:spacing w:after="160"/>
      </w:pPr>
      <w:r>
        <w:rPr>
          <w:rFonts w:ascii="Calibri" w:hAnsi="Calibri" w:eastAsia="Microsoft YaHei"/>
          <w:b w:val="0"/>
          <w:sz w:val="22"/>
        </w:rPr>
        <w:t>For Orion Analytics Ltd.                    For Northstar Retail Inc.</w:t>
      </w:r>
    </w:p>
    <w:p>
      <w:pPr>
        <w:spacing w:after="160"/>
      </w:pPr>
      <w:r>
        <w:rPr>
          <w:rFonts w:ascii="Calibri" w:hAnsi="Calibri" w:eastAsia="Microsoft YaHei"/>
          <w:b w:val="0"/>
          <w:sz w:val="22"/>
        </w:rPr>
        <w:t>Name / Title / Date: [TO CONFIRM]           Name / Title / Date: [TO CONFIRM]</w:t>
      </w:r>
    </w:p>
    <w:p>
      <w:pPr>
        <w:spacing w:after="160"/>
      </w:pPr>
      <w:r>
        <w:rPr>
          <w:rFonts w:ascii="Calibri" w:hAnsi="Calibri" w:eastAsia="Microsoft YaHei"/>
          <w:b/>
          <w:sz w:val="20"/>
        </w:rPr>
        <w:t>Counsel legend: This working draft implements the signed term sheet. It must be reviewed by qualified counsel before signature. Do not treat bracketed items as agreed.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