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sz w:val="32"/>
        </w:rPr>
        <w:t>致董事会｜经营与三项决定（不超过两页）</w:t>
      </w:r>
    </w:p>
    <w:p>
      <w:pPr>
        <w:spacing w:after="200"/>
      </w:pPr>
      <w:r>
        <w:rPr>
          <w:rFonts w:ascii="Calibri" w:hAnsi="Calibri" w:eastAsia="Microsoft YaHei"/>
          <w:b w:val="0"/>
          <w:sz w:val="20"/>
        </w:rPr>
        <w:t>事实 / 管理层判断 / 建议分开。不承诺 AI 模块日期、不承诺 SLA、不承诺提价。三件材料数字与 XLSX 一致。</w:t>
      </w:r>
    </w:p>
    <w:p>
      <w:pPr>
        <w:spacing w:after="120"/>
      </w:pPr>
      <w:r>
        <w:rPr>
          <w:rFonts w:ascii="Calibri" w:hAnsi="Calibri" w:eastAsia="Microsoft YaHei"/>
          <w:b/>
          <w:sz w:val="26"/>
        </w:rPr>
        <w:t>三项决定</w:t>
      </w:r>
    </w:p>
    <w:p>
      <w:pPr>
        <w:spacing w:after="160"/>
      </w:pPr>
      <w:r>
        <w:rPr>
          <w:rFonts w:ascii="Calibri" w:hAnsi="Calibri" w:eastAsia="Microsoft YaHei"/>
          <w:b w:val="0"/>
          <w:sz w:val="22"/>
        </w:rPr>
        <w:t>D1 批准增加 2 名上线经理（年成本 0.36m）作为试点编制，不把“10 周→7 周”当已验证承诺。</w:t>
      </w:r>
    </w:p>
    <w:p>
      <w:pPr>
        <w:spacing w:after="160"/>
      </w:pPr>
      <w:r>
        <w:rPr>
          <w:rFonts w:ascii="Calibri" w:hAnsi="Calibri" w:eastAsia="Microsoft YaHei"/>
          <w:b w:val="0"/>
          <w:sz w:val="22"/>
        </w:rPr>
        <w:t>D2 批准高级 SLA 产品化工程 0.25m，Q4 最早可上线；定价待定，不向客户承诺 99.95% 直至产品上线且合同条款完成。</w:t>
      </w:r>
    </w:p>
    <w:p>
      <w:pPr>
        <w:spacing w:after="160"/>
      </w:pPr>
      <w:r>
        <w:rPr>
          <w:rFonts w:ascii="Calibri" w:hAnsi="Calibri" w:eastAsia="Microsoft YaHei"/>
          <w:b w:val="0"/>
          <w:sz w:val="22"/>
        </w:rPr>
        <w:t>D3 否决全体客户立即提价 8%。允许仅对自愿付费的高级 SLA 客户单独定价（价格未定）。</w:t>
      </w:r>
    </w:p>
    <w:p>
      <w:pPr>
        <w:spacing w:after="120"/>
      </w:pPr>
      <w:r>
        <w:rPr>
          <w:rFonts w:ascii="Calibri" w:hAnsi="Calibri" w:eastAsia="Microsoft YaHei"/>
          <w:b/>
          <w:sz w:val="26"/>
        </w:rPr>
        <w:t>事实（经营）</w:t>
      </w:r>
    </w:p>
    <w:p>
      <w:pPr>
        <w:spacing w:after="160"/>
      </w:pPr>
      <w:r>
        <w:rPr>
          <w:rFonts w:ascii="Calibri" w:hAnsi="Calibri" w:eastAsia="Microsoft YaHei"/>
          <w:b w:val="0"/>
          <w:sz w:val="22"/>
        </w:rPr>
        <w:t>ARR 120 vs Q1 110 vs LY 95。NRR 104% vs 110% / 112%。毛利率 68% vs 72% / 70%。Logo churn 2.8% vs 1.9% / 1.7%。New logos 40 vs 55 / 48。现金 28 vs 31 / 36。月烧 3.0 vs 2.5 / 2.2。</w:t>
      </w:r>
    </w:p>
    <w:p>
      <w:pPr>
        <w:spacing w:after="160"/>
      </w:pPr>
      <w:r>
        <w:rPr>
          <w:rFonts w:ascii="Calibri" w:hAnsi="Calibri" w:eastAsia="Microsoft YaHei"/>
          <w:b w:val="0"/>
          <w:sz w:val="22"/>
        </w:rPr>
        <w:t>测算：ARR 环比 +9.1%、同比 +26.3%；NRR −6 个百分点（对 Q1）；毛利率 −4 个百分点；流失 +0.9 个百分点；新客 logo −27.3%；现金 −3m（−9.7%）；烧钱 +0.5。简单跑道 Cash/Burn：Q2 9.3 个月 vs Q1 12.4 个月。</w:t>
      </w:r>
    </w:p>
    <w:p>
      <w:pPr>
        <w:spacing w:after="120"/>
      </w:pPr>
      <w:r>
        <w:rPr>
          <w:rFonts w:ascii="Calibri" w:hAnsi="Calibri" w:eastAsia="Microsoft YaHei"/>
          <w:b/>
          <w:sz w:val="26"/>
        </w:rPr>
        <w:t>事实（客户/产品/法务）</w:t>
      </w:r>
    </w:p>
    <w:p>
      <w:pPr>
        <w:spacing w:after="160"/>
      </w:pPr>
      <w:r>
        <w:rPr>
          <w:rFonts w:ascii="Calibri" w:hAnsi="Calibri" w:eastAsia="Microsoft YaHei"/>
          <w:b w:val="0"/>
          <w:sz w:val="22"/>
        </w:rPr>
        <w:t>五家企业要 99.95% SLA，当前标准 99.9%；其中两家愿为高级 SLA 付费。近 10 个流失访谈：6 上线慢、3 AI 摘要准确性、1 价格。销售建议全体提价 8%，称可立即增加 ARR，未提供流失弹性。理论年化毛增量 0.08×120=9.6m，未考虑流失、折扣、时点。</w:t>
      </w:r>
    </w:p>
    <w:p>
      <w:pPr>
        <w:spacing w:after="160"/>
      </w:pPr>
      <w:r>
        <w:rPr>
          <w:rFonts w:ascii="Calibri" w:hAnsi="Calibri" w:eastAsia="Microsoft YaHei"/>
          <w:b w:val="0"/>
          <w:sz w:val="22"/>
        </w:rPr>
        <w:t>AI 模块内部目标 9 月 15 日；销售材料曾写 8 月 15 日，产品未批准。离线测试准确率 88%，上线门槛 92%。法务：自动续约通知仅提前 30 天，两地区内部政策要求至少 60 天，须在下轮续约前改流程。</w:t>
      </w:r>
    </w:p>
    <w:p>
      <w:pPr>
        <w:spacing w:after="120"/>
      </w:pPr>
      <w:r>
        <w:rPr>
          <w:rFonts w:ascii="Calibri" w:hAnsi="Calibri" w:eastAsia="Microsoft YaHei"/>
          <w:b/>
          <w:sz w:val="26"/>
        </w:rPr>
        <w:t>管理层判断（非因果证明）</w:t>
      </w:r>
    </w:p>
    <w:p>
      <w:pPr>
        <w:spacing w:after="160"/>
      </w:pPr>
      <w:r>
        <w:rPr>
          <w:rFonts w:ascii="Calibri" w:hAnsi="Calibri" w:eastAsia="Microsoft YaHei"/>
          <w:b w:val="0"/>
          <w:sz w:val="22"/>
        </w:rPr>
        <w:t>流失访谈样本 10，上线慢是最频繁提及项，可能与 NRR/流失恶化同期，但非统计证明。AI 准确性被 3 家提及，与 88%&lt;92% 一致，支持暂缓对外日期。提价 8% 在流失已升、NRR 已降时风险高于销售叙事。</w:t>
      </w:r>
    </w:p>
    <w:p>
      <w:pPr>
        <w:spacing w:after="120"/>
      </w:pPr>
      <w:r>
        <w:rPr>
          <w:rFonts w:ascii="Calibri" w:hAnsi="Calibri" w:eastAsia="Microsoft YaHei"/>
          <w:b/>
          <w:sz w:val="26"/>
        </w:rPr>
        <w:t>建议与表决</w:t>
      </w:r>
    </w:p>
    <w:p>
      <w:pPr>
        <w:spacing w:after="160"/>
      </w:pPr>
      <w:r>
        <w:rPr>
          <w:rFonts w:ascii="Calibri" w:hAnsi="Calibri" w:eastAsia="Microsoft YaHei"/>
          <w:b w:val="0"/>
          <w:sz w:val="22"/>
        </w:rPr>
        <w:t>见文首 D1–D3。现金 28、烧 3.0，D1+D2 年化/一次性合计 0.61m，不改变跑道数量级，但 D3 的 9.6m 为未风险调整理论值，不能当预算。请表决：D1 是/否；D2 是/否（含“不得对客户承诺日期与 SLA”附带条件）；D3 否决立即全量提价 是/否。另：授权法务在下轮续约前把通知改到 ≥60 天（合规项，非增长实验）。</w:t>
      </w:r>
    </w:p>
    <w:p>
      <w:pPr>
        <w:spacing w:after="120"/>
      </w:pPr>
      <w:r>
        <w:rPr>
          <w:rFonts w:ascii="Calibri" w:hAnsi="Calibri" w:eastAsia="Microsoft YaHei"/>
          <w:b w:val="0"/>
          <w:sz w:val="20"/>
        </w:rPr>
        <w:t>附件：T50_Board_Pack.pptx（6 页）；T50_Board_KPI_Appendix.xlsx（KPI / Calculations / Decision_Scenarios）。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