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GPT-5.6 Batch-50 全量评分报告</w:t>
      </w:r>
    </w:p>
    <w:p>
      <w:pPr>
        <w:jc w:val="center"/>
      </w:pPr>
      <w:r>
        <w:t>匿名候选模型 ANON-BATCH-001｜测评模式 Batch-50</w:t>
      </w:r>
    </w:p>
    <w:p>
      <w:pPr>
        <w:pStyle w:val="Heading1"/>
      </w:pPr>
      <w:r>
        <w:t>执行摘要</w:t>
      </w:r>
    </w:p>
    <w:p>
      <w:r>
        <w:t>已按评分手册与批量控制器完成 T01–T50 共 50 题逐维度评分。总质量分为 81.9/100；完成率为 100.0%（50/50）；严重错误率为 2.0%（1/50 触发 CAP）；21 题标记为需人工复核。</w:t>
      </w:r>
    </w:p>
    <w:p>
      <w:pPr>
        <w:pStyle w:val="Heading1"/>
      </w:pPr>
      <w:r>
        <w:t>领域表现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能力域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领域分（0–100）</w:t>
            </w:r>
          </w:p>
        </w:tc>
      </w:tr>
      <w:tr>
        <w:tc>
          <w:tcPr>
            <w:tcW w:type="dxa" w:w="5112"/>
            <w:vAlign w:val="top"/>
          </w:tcPr>
          <w:p>
            <w:r>
              <w:t>管理沟通与写作</w:t>
            </w:r>
          </w:p>
        </w:tc>
        <w:tc>
          <w:tcPr>
            <w:tcW w:type="dxa" w:w="5112"/>
            <w:vAlign w:val="top"/>
          </w:tcPr>
          <w:p>
            <w:r>
              <w:t>85.6</w:t>
            </w:r>
          </w:p>
        </w:tc>
      </w:tr>
      <w:tr>
        <w:tc>
          <w:tcPr>
            <w:tcW w:type="dxa" w:w="5112"/>
            <w:vAlign w:val="top"/>
          </w:tcPr>
          <w:p>
            <w:r>
              <w:t>演示与可视化</w:t>
            </w:r>
          </w:p>
        </w:tc>
        <w:tc>
          <w:tcPr>
            <w:tcW w:type="dxa" w:w="5112"/>
            <w:vAlign w:val="top"/>
          </w:tcPr>
          <w:p>
            <w:r>
              <w:t>84.6</w:t>
            </w:r>
          </w:p>
        </w:tc>
      </w:tr>
      <w:tr>
        <w:tc>
          <w:tcPr>
            <w:tcW w:type="dxa" w:w="5112"/>
            <w:vAlign w:val="top"/>
          </w:tcPr>
          <w:p>
            <w:r>
              <w:t>电子表格与数据处理</w:t>
            </w:r>
          </w:p>
        </w:tc>
        <w:tc>
          <w:tcPr>
            <w:tcW w:type="dxa" w:w="5112"/>
            <w:vAlign w:val="top"/>
          </w:tcPr>
          <w:p>
            <w:r>
              <w:t>68.0</w:t>
            </w:r>
          </w:p>
        </w:tc>
      </w:tr>
      <w:tr>
        <w:tc>
          <w:tcPr>
            <w:tcW w:type="dxa" w:w="5112"/>
            <w:vAlign w:val="top"/>
          </w:tcPr>
          <w:p>
            <w:r>
              <w:t>营销、销售与客户</w:t>
            </w:r>
          </w:p>
        </w:tc>
        <w:tc>
          <w:tcPr>
            <w:tcW w:type="dxa" w:w="5112"/>
            <w:vAlign w:val="top"/>
          </w:tcPr>
          <w:p>
            <w:r>
              <w:t>86.2</w:t>
            </w:r>
          </w:p>
        </w:tc>
      </w:tr>
      <w:tr>
        <w:tc>
          <w:tcPr>
            <w:tcW w:type="dxa" w:w="5112"/>
            <w:vAlign w:val="top"/>
          </w:tcPr>
          <w:p>
            <w:r>
              <w:t>法律、合规与政策</w:t>
            </w:r>
          </w:p>
        </w:tc>
        <w:tc>
          <w:tcPr>
            <w:tcW w:type="dxa" w:w="5112"/>
            <w:vAlign w:val="top"/>
          </w:tcPr>
          <w:p>
            <w:r>
              <w:t>84.8</w:t>
            </w:r>
          </w:p>
        </w:tc>
      </w:tr>
      <w:tr>
        <w:tc>
          <w:tcPr>
            <w:tcW w:type="dxa" w:w="5112"/>
            <w:vAlign w:val="top"/>
          </w:tcPr>
          <w:p>
            <w:r>
              <w:t>研究、分析与尽调</w:t>
            </w:r>
          </w:p>
        </w:tc>
        <w:tc>
          <w:tcPr>
            <w:tcW w:type="dxa" w:w="5112"/>
            <w:vAlign w:val="top"/>
          </w:tcPr>
          <w:p>
            <w:r>
              <w:t>84.0</w:t>
            </w:r>
          </w:p>
        </w:tc>
      </w:tr>
      <w:tr>
        <w:tc>
          <w:tcPr>
            <w:tcW w:type="dxa" w:w="5112"/>
            <w:vAlign w:val="top"/>
          </w:tcPr>
          <w:p>
            <w:r>
              <w:t>财务、投资与会计</w:t>
            </w:r>
          </w:p>
        </w:tc>
        <w:tc>
          <w:tcPr>
            <w:tcW w:type="dxa" w:w="5112"/>
            <w:vAlign w:val="top"/>
          </w:tcPr>
          <w:p>
            <w:r>
              <w:t>84.4</w:t>
            </w:r>
          </w:p>
        </w:tc>
      </w:tr>
      <w:tr>
        <w:tc>
          <w:tcPr>
            <w:tcW w:type="dxa" w:w="5112"/>
            <w:vAlign w:val="top"/>
          </w:tcPr>
          <w:p>
            <w:r>
              <w:t>运营、项目与采购</w:t>
            </w:r>
          </w:p>
        </w:tc>
        <w:tc>
          <w:tcPr>
            <w:tcW w:type="dxa" w:w="5112"/>
            <w:vAlign w:val="top"/>
          </w:tcPr>
          <w:p>
            <w:r>
              <w:t>80.2</w:t>
            </w:r>
          </w:p>
        </w:tc>
      </w:tr>
      <w:tr>
        <w:tc>
          <w:tcPr>
            <w:tcW w:type="dxa" w:w="5112"/>
            <w:vAlign w:val="top"/>
          </w:tcPr>
          <w:p>
            <w:r>
              <w:t>人力资源与内部沟通</w:t>
            </w:r>
          </w:p>
        </w:tc>
        <w:tc>
          <w:tcPr>
            <w:tcW w:type="dxa" w:w="5112"/>
            <w:vAlign w:val="top"/>
          </w:tcPr>
          <w:p>
            <w:r>
              <w:t>91.0</w:t>
            </w:r>
          </w:p>
        </w:tc>
      </w:tr>
      <w:tr>
        <w:tc>
          <w:tcPr>
            <w:tcW w:type="dxa" w:w="5112"/>
            <w:vAlign w:val="top"/>
          </w:tcPr>
          <w:p>
            <w:r>
              <w:t>综合代理式白领任务</w:t>
            </w:r>
          </w:p>
        </w:tc>
        <w:tc>
          <w:tcPr>
            <w:tcW w:type="dxa" w:w="5112"/>
            <w:vAlign w:val="top"/>
          </w:tcPr>
          <w:p>
            <w:r>
              <w:t>70.2</w:t>
            </w:r>
          </w:p>
        </w:tc>
      </w:tr>
    </w:tbl>
    <w:p/>
    <w:p>
      <w:r>
        <w:t>最强领域：人力资源与内部沟通（91.0）；最弱领域：电子表格与数据处理（68.0）。</w:t>
      </w:r>
    </w:p>
    <w:p>
      <w:pPr>
        <w:pStyle w:val="Heading1"/>
      </w:pPr>
      <w:r>
        <w:t>跨题系统性问题</w:t>
      </w:r>
    </w:p>
    <w:p>
      <w:pPr>
        <w:pStyle w:val="ListBullet"/>
      </w:pPr>
      <w:r>
        <w:t>缺少量化闭环或阈值</w:t>
      </w:r>
    </w:p>
    <w:p>
      <w:pPr>
        <w:pStyle w:val="ListBullet"/>
      </w:pPr>
      <w:r>
        <w:t>计算/关键数值偏差</w:t>
      </w:r>
    </w:p>
    <w:p>
      <w:pPr>
        <w:pStyle w:val="ListBullet"/>
      </w:pPr>
      <w:r>
        <w:t>合规、风险或不确定性处理不足</w:t>
      </w:r>
    </w:p>
    <w:p>
      <w:pPr>
        <w:pStyle w:val="ListBullet"/>
      </w:pPr>
      <w:r>
        <w:t>文件结构或格式不完全符合</w:t>
      </w:r>
    </w:p>
    <w:p>
      <w:pPr>
        <w:pStyle w:val="Heading1"/>
      </w:pPr>
      <w:r>
        <w:t>低分、CAP 与异常任务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最终分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CAP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文件有效性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首要问题</w:t>
            </w:r>
          </w:p>
        </w:tc>
      </w:tr>
      <w:tr>
        <w:tc>
          <w:tcPr>
            <w:tcW w:type="dxa" w:w="2045"/>
            <w:vAlign w:val="top"/>
          </w:tcPr>
          <w:p>
            <w:r>
              <w:t>T49</w:t>
            </w:r>
          </w:p>
        </w:tc>
        <w:tc>
          <w:tcPr>
            <w:tcW w:type="dxa" w:w="2045"/>
            <w:vAlign w:val="top"/>
          </w:tcPr>
          <w:p>
            <w:r>
              <w:t>5.0</w:t>
            </w:r>
          </w:p>
        </w:tc>
        <w:tc>
          <w:tcPr>
            <w:tcW w:type="dxa" w:w="2045"/>
            <w:vAlign w:val="top"/>
          </w:tcPr>
          <w:p>
            <w:r>
              <w:t>YES</w:t>
            </w:r>
          </w:p>
        </w:tc>
        <w:tc>
          <w:tcPr>
            <w:tcW w:type="dxa" w:w="2045"/>
            <w:vAlign w:val="top"/>
          </w:tcPr>
          <w:p>
            <w:r>
              <w:t>VALID</w:t>
            </w:r>
          </w:p>
        </w:tc>
        <w:tc>
          <w:tcPr>
            <w:tcW w:type="dxa" w:w="2045"/>
            <w:vAlign w:val="top"/>
          </w:tcPr>
          <w:p>
            <w:r>
              <w:t>修正版将“第12个月结束后”写成“自第12个月起”，改变客户终止权的生效时间并触发5.0分CAP。</w:t>
            </w:r>
          </w:p>
        </w:tc>
      </w:tr>
      <w:tr>
        <w:tc>
          <w:tcPr>
            <w:tcW w:type="dxa" w:w="2045"/>
            <w:vAlign w:val="top"/>
          </w:tcPr>
          <w:p>
            <w:r>
              <w:t>T14</w:t>
            </w:r>
          </w:p>
        </w:tc>
        <w:tc>
          <w:tcPr>
            <w:tcW w:type="dxa" w:w="2045"/>
            <w:vAlign w:val="top"/>
          </w:tcPr>
          <w:p>
            <w:r>
              <w:t>5.5</w:t>
            </w:r>
          </w:p>
        </w:tc>
        <w:tc>
          <w:tcPr>
            <w:tcW w:type="dxa" w:w="2045"/>
            <w:vAlign w:val="top"/>
          </w:tcPr>
          <w:p>
            <w:r>
              <w:t>NO</w:t>
            </w:r>
          </w:p>
        </w:tc>
        <w:tc>
          <w:tcPr>
            <w:tcW w:type="dxa" w:w="2045"/>
            <w:vAlign w:val="top"/>
          </w:tcPr>
          <w:p>
            <w:r>
              <w:t>VALID</w:t>
            </w:r>
          </w:p>
        </w:tc>
        <w:tc>
          <w:tcPr>
            <w:tcW w:type="dxa" w:w="2045"/>
            <w:vAlign w:val="top"/>
          </w:tcPr>
          <w:p>
            <w:r>
              <w:t>补货计算!L5:L6把非触发D/E列为250和50，而I5:I6为No、Gold要求为0，且与采购清单冲突。</w:t>
            </w:r>
          </w:p>
        </w:tc>
      </w:tr>
      <w:tr>
        <w:tc>
          <w:tcPr>
            <w:tcW w:type="dxa" w:w="2045"/>
            <w:vAlign w:val="top"/>
          </w:tcPr>
          <w:p>
            <w:r>
              <w:t>T15</w:t>
            </w:r>
          </w:p>
        </w:tc>
        <w:tc>
          <w:tcPr>
            <w:tcW w:type="dxa" w:w="2045"/>
            <w:vAlign w:val="top"/>
          </w:tcPr>
          <w:p>
            <w:r>
              <w:t>6.2</w:t>
            </w:r>
          </w:p>
        </w:tc>
        <w:tc>
          <w:tcPr>
            <w:tcW w:type="dxa" w:w="2045"/>
            <w:vAlign w:val="top"/>
          </w:tcPr>
          <w:p>
            <w:r>
              <w:t>NO</w:t>
            </w:r>
          </w:p>
        </w:tc>
        <w:tc>
          <w:tcPr>
            <w:tcW w:type="dxa" w:w="2045"/>
            <w:vAlign w:val="top"/>
          </w:tcPr>
          <w:p>
            <w:r>
              <w:t>VALID</w:t>
            </w:r>
          </w:p>
        </w:tc>
        <w:tc>
          <w:tcPr>
            <w:tcW w:type="dxa" w:w="2045"/>
            <w:vAlign w:val="top"/>
          </w:tcPr>
          <w:p>
            <w:r>
              <w:t>全工作簿零公式；32%和15%为文本，Base/Downside/Dashboard均不引用Assumptions，模型无法情景重算。</w:t>
            </w:r>
          </w:p>
        </w:tc>
      </w:tr>
      <w:tr>
        <w:tc>
          <w:tcPr>
            <w:tcW w:type="dxa" w:w="2045"/>
            <w:vAlign w:val="top"/>
          </w:tcPr>
          <w:p>
            <w:r>
              <w:t>T12</w:t>
            </w:r>
          </w:p>
        </w:tc>
        <w:tc>
          <w:tcPr>
            <w:tcW w:type="dxa" w:w="2045"/>
            <w:vAlign w:val="top"/>
          </w:tcPr>
          <w:p>
            <w:r>
              <w:t>6.3</w:t>
            </w:r>
          </w:p>
        </w:tc>
        <w:tc>
          <w:tcPr>
            <w:tcW w:type="dxa" w:w="2045"/>
            <w:vAlign w:val="top"/>
          </w:tcPr>
          <w:p>
            <w:r>
              <w:t>NO</w:t>
            </w:r>
          </w:p>
        </w:tc>
        <w:tc>
          <w:tcPr>
            <w:tcW w:type="dxa" w:w="2045"/>
            <w:vAlign w:val="top"/>
          </w:tcPr>
          <w:p>
            <w:r>
              <w:t>VALID</w:t>
            </w:r>
          </w:p>
        </w:tc>
        <w:tc>
          <w:tcPr>
            <w:tcW w:type="dxa" w:w="2045"/>
            <w:vAlign w:val="top"/>
          </w:tcPr>
          <w:p>
            <w:r>
              <w:t>缺少总计行，未给出1685/1768/+83及4.9258%总体差异率。</w:t>
            </w:r>
          </w:p>
        </w:tc>
      </w:tr>
      <w:tr>
        <w:tc>
          <w:tcPr>
            <w:tcW w:type="dxa" w:w="2045"/>
            <w:vAlign w:val="top"/>
          </w:tcPr>
          <w:p>
            <w:r>
              <w:t>T39</w:t>
            </w:r>
          </w:p>
        </w:tc>
        <w:tc>
          <w:tcPr>
            <w:tcW w:type="dxa" w:w="2045"/>
            <w:vAlign w:val="top"/>
          </w:tcPr>
          <w:p>
            <w:r>
              <w:t>6.6</w:t>
            </w:r>
          </w:p>
        </w:tc>
        <w:tc>
          <w:tcPr>
            <w:tcW w:type="dxa" w:w="2045"/>
            <w:vAlign w:val="top"/>
          </w:tcPr>
          <w:p>
            <w:r>
              <w:t>NO</w:t>
            </w:r>
          </w:p>
        </w:tc>
        <w:tc>
          <w:tcPr>
            <w:tcW w:type="dxa" w:w="2045"/>
            <w:vAlign w:val="top"/>
          </w:tcPr>
          <w:p>
            <w:r>
              <w:t>VALID</w:t>
            </w:r>
          </w:p>
        </w:tc>
        <w:tc>
          <w:tcPr>
            <w:tcW w:type="dxa" w:w="2045"/>
            <w:vAlign w:val="top"/>
          </w:tcPr>
          <w:p>
            <w:r>
              <w:t>错误地先排除Y再确定最低报价，导致成本分应为85/100/70.833却写成X=100、Z=83.33。</w:t>
            </w:r>
          </w:p>
        </w:tc>
      </w:tr>
      <w:tr>
        <w:tc>
          <w:tcPr>
            <w:tcW w:type="dxa" w:w="2045"/>
            <w:vAlign w:val="top"/>
          </w:tcPr>
          <w:p>
            <w:r>
              <w:t>T47</w:t>
            </w:r>
          </w:p>
        </w:tc>
        <w:tc>
          <w:tcPr>
            <w:tcW w:type="dxa" w:w="2045"/>
            <w:vAlign w:val="top"/>
          </w:tcPr>
          <w:p>
            <w:r>
              <w:t>6.8</w:t>
            </w:r>
          </w:p>
        </w:tc>
        <w:tc>
          <w:tcPr>
            <w:tcW w:type="dxa" w:w="2045"/>
            <w:vAlign w:val="top"/>
          </w:tcPr>
          <w:p>
            <w:r>
              <w:t>NO</w:t>
            </w:r>
          </w:p>
        </w:tc>
        <w:tc>
          <w:tcPr>
            <w:tcW w:type="dxa" w:w="2045"/>
            <w:vAlign w:val="top"/>
          </w:tcPr>
          <w:p>
            <w:r>
              <w:t>VALID</w:t>
            </w:r>
          </w:p>
        </w:tc>
        <w:tc>
          <w:tcPr>
            <w:tcW w:type="dxa" w:w="2045"/>
            <w:vAlign w:val="top"/>
          </w:tcPr>
          <w:p>
            <w:r>
              <w:t>8/18错误地把依赖会议提前且零余量的18:10航班作为首选，而Gold要求改签20:30。</w:t>
            </w:r>
          </w:p>
        </w:tc>
      </w:tr>
    </w:tbl>
    <w:p/>
    <w:p>
      <w:pPr>
        <w:pStyle w:val="Heading1"/>
      </w:pPr>
      <w:r>
        <w:t>人工复核建议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领域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置信度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复核原因</w:t>
            </w:r>
          </w:p>
        </w:tc>
      </w:tr>
      <w:tr>
        <w:tc>
          <w:tcPr>
            <w:tcW w:type="dxa" w:w="2556"/>
            <w:vAlign w:val="top"/>
          </w:tcPr>
          <w:p>
            <w:r>
              <w:t>T05</w:t>
            </w:r>
          </w:p>
        </w:tc>
        <w:tc>
          <w:tcPr>
            <w:tcW w:type="dxa" w:w="2556"/>
            <w:vAlign w:val="top"/>
          </w:tcPr>
          <w:p>
            <w:r>
              <w:t>管理沟通与写作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事故影响涉及数据丢失和未授权访问等高风险表述，且同一答案同时出现“无证据显示”和绝对“无”两种矛盾措辞，建议人工复核影响结论。</w:t>
            </w:r>
          </w:p>
        </w:tc>
      </w:tr>
      <w:tr>
        <w:tc>
          <w:tcPr>
            <w:tcW w:type="dxa" w:w="2556"/>
            <w:vAlign w:val="top"/>
          </w:tcPr>
          <w:p>
            <w:r>
              <w:t>T08</w:t>
            </w:r>
          </w:p>
        </w:tc>
        <w:tc>
          <w:tcPr>
            <w:tcW w:type="dxa" w:w="2556"/>
            <w:vAlign w:val="top"/>
          </w:tcPr>
          <w:p>
            <w:r>
              <w:t>演示与可视化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涉及投资者财务沟通，且多个Gold核心输出虽可由输入推导却未在演示中呈现，建议人工确认遗漏扣分尺度。</w:t>
            </w:r>
          </w:p>
        </w:tc>
      </w:tr>
      <w:tr>
        <w:tc>
          <w:tcPr>
            <w:tcW w:type="dxa" w:w="2556"/>
            <w:vAlign w:val="top"/>
          </w:tcPr>
          <w:p>
            <w:r>
              <w:t>T09</w:t>
            </w:r>
          </w:p>
        </w:tc>
        <w:tc>
          <w:tcPr>
            <w:tcW w:type="dxa" w:w="2556"/>
            <w:vAlign w:val="top"/>
          </w:tcPr>
          <w:p>
            <w:r>
              <w:t>演示与可视化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反钓鱼培训属于安全高风险内容；虽未触发CAP，仍建议人工复核点击后处置缺口和示例3措辞。</w:t>
            </w:r>
          </w:p>
        </w:tc>
      </w:tr>
      <w:tr>
        <w:tc>
          <w:tcPr>
            <w:tcW w:type="dxa" w:w="2556"/>
            <w:vAlign w:val="top"/>
          </w:tcPr>
          <w:p>
            <w:r>
              <w:t>T14</w:t>
            </w:r>
          </w:p>
        </w:tc>
        <w:tc>
          <w:tcPr>
            <w:tcW w:type="dxa" w:w="2556"/>
            <w:vAlign w:val="top"/>
          </w:tcPr>
          <w:p>
            <w:r>
              <w:t>电子表格与数据处理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主计算表对D/E给出非零最终下单量，但采购清单排除二者，存在直接内部冲突，建议人工确认操作口径。</w:t>
            </w:r>
          </w:p>
        </w:tc>
      </w:tr>
      <w:tr>
        <w:tc>
          <w:tcPr>
            <w:tcW w:type="dxa" w:w="2556"/>
            <w:vAlign w:val="top"/>
          </w:tcPr>
          <w:p>
            <w:r>
              <w:t>T15</w:t>
            </w:r>
          </w:p>
        </w:tc>
        <w:tc>
          <w:tcPr>
            <w:tcW w:type="dxa" w:w="2556"/>
            <w:vAlign w:val="top"/>
          </w:tcPr>
          <w:p>
            <w:r>
              <w:t>电子表格与数据处理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这是现金流决策模型，但核心结果全部硬编码且参数不可控；虽数值正确，建议人工复核其模型可用性风险。</w:t>
            </w:r>
          </w:p>
        </w:tc>
      </w:tr>
      <w:tr>
        <w:tc>
          <w:tcPr>
            <w:tcW w:type="dxa" w:w="2556"/>
            <w:vAlign w:val="top"/>
          </w:tcPr>
          <w:p>
            <w:r>
              <w:t>T18</w:t>
            </w:r>
          </w:p>
        </w:tc>
        <w:tc>
          <w:tcPr>
            <w:tcW w:type="dxa" w:w="2556"/>
            <w:vAlign w:val="top"/>
          </w:tcPr>
          <w:p>
            <w:r>
              <w:t>营销、销售与客户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涉及疑似跨租户数据暴露的高风险安全/隐私处置，且Gold check的绝对时限未在答案中落实，建议人工复核。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T21</w:t>
            </w:r>
          </w:p>
        </w:tc>
        <w:tc>
          <w:tcPr>
            <w:tcW w:type="dxa" w:w="2556"/>
            <w:vAlign w:val="top"/>
          </w:tcPr>
          <w:p>
            <w:r>
              <w:t>法律、合规与政策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涉及NDA可执行性、禁令与争议解决的实质法律判断，按控制器应由人工复核。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T22</w:t>
            </w:r>
          </w:p>
        </w:tc>
        <w:tc>
          <w:tcPr>
            <w:tcW w:type="dxa" w:w="2556"/>
            <w:vAlign w:val="top"/>
          </w:tcPr>
          <w:p>
            <w:r>
              <w:t>法律、合规与政策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MSA涉及责任、IP、赔偿和可执行性等实质法律判断，且草案明显短于要求，需人工法律复核。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T23</w:t>
            </w:r>
          </w:p>
        </w:tc>
        <w:tc>
          <w:tcPr>
            <w:tcW w:type="dxa" w:w="2556"/>
            <w:vAlign w:val="top"/>
          </w:tcPr>
          <w:p>
            <w:r>
              <w:t>法律、合规与政策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员工纪律调查涉及程序公平、劳动法和员工隐私的实质判断，按控制器属于高风险人工复核项。</w:t>
            </w:r>
          </w:p>
        </w:tc>
      </w:tr>
      <w:tr>
        <w:tc>
          <w:tcPr>
            <w:tcW w:type="dxa" w:w="2556"/>
            <w:vAlign w:val="top"/>
          </w:tcPr>
          <w:p>
            <w:r>
              <w:t>T24</w:t>
            </w:r>
          </w:p>
        </w:tc>
        <w:tc>
          <w:tcPr>
            <w:tcW w:type="dxa" w:w="2556"/>
            <w:vAlign w:val="top"/>
          </w:tcPr>
          <w:p>
            <w:r>
              <w:t>法律、合规与政策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个人数据事件的风险等级、通知阈值和升级触发均属实质隐私判断，且擦除状态存在表述不确定性，需人工复核。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T25</w:t>
            </w:r>
          </w:p>
        </w:tc>
        <w:tc>
          <w:tcPr>
            <w:tcW w:type="dxa" w:w="2556"/>
            <w:vAlign w:val="top"/>
          </w:tcPr>
          <w:p>
            <w:r>
              <w:t>法律、合规与政策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营销绝对主张、比较主张、安全和环境声明涉及实质广告合规判断，按控制器应由人工复核。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T28</w:t>
            </w:r>
          </w:p>
        </w:tc>
        <w:tc>
          <w:tcPr>
            <w:tcW w:type="dxa" w:w="2556"/>
            <w:vAlign w:val="top"/>
          </w:tcPr>
          <w:p>
            <w:r>
              <w:t>研究、分析与尽调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涉及安全认证、跨境机制和不可接受的RPO硬差距，且证据缺失与不存在的边界有不一致，按控制器作为高风险题人工复核。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T30</w:t>
            </w:r>
          </w:p>
        </w:tc>
        <w:tc>
          <w:tcPr>
            <w:tcW w:type="dxa" w:w="2556"/>
            <w:vAlign w:val="top"/>
          </w:tcPr>
          <w:p>
            <w:r>
              <w:t>研究、分析与尽调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财务高风险题按控制器应人工抽查；需重点复核遗漏的超预期百分比、EPS和来源标注，但未触发CAP。</w:t>
            </w:r>
          </w:p>
        </w:tc>
      </w:tr>
      <w:tr>
        <w:tc>
          <w:tcPr>
            <w:tcW w:type="dxa" w:w="2556"/>
            <w:vAlign w:val="top"/>
          </w:tcPr>
          <w:p>
            <w:r>
              <w:t>T31</w:t>
            </w:r>
          </w:p>
        </w:tc>
        <w:tc>
          <w:tcPr>
            <w:tcW w:type="dxa" w:w="2556"/>
            <w:vAlign w:val="top"/>
          </w:tcPr>
          <w:p>
            <w:r>
              <w:t>财务、投资与会计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涉及财务报表勾稽及潜在30百万元错报；删除项目仍是需凭证验证的会计判断，建议人工复核。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T32</w:t>
            </w:r>
          </w:p>
        </w:tc>
        <w:tc>
          <w:tcPr>
            <w:tcW w:type="dxa" w:w="2556"/>
            <w:vAlign w:val="top"/>
          </w:tcPr>
          <w:p>
            <w:r>
              <w:t>财务、投资与会计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属于高风险投资建议；仓位与kill criteria缺少量化阈值，需人工判断其风险适当性。</w:t>
            </w:r>
          </w:p>
        </w:tc>
      </w:tr>
      <w:tr>
        <w:tc>
          <w:tcPr>
            <w:tcW w:type="dxa" w:w="2556"/>
            <w:vAlign w:val="top"/>
          </w:tcPr>
          <w:p>
            <w:r>
              <w:t>T33</w:t>
            </w:r>
          </w:p>
        </w:tc>
        <w:tc>
          <w:tcPr>
            <w:tcW w:type="dxa" w:w="2556"/>
            <w:vAlign w:val="top"/>
          </w:tcPr>
          <w:p>
            <w:r>
              <w:t>财务、投资与会计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涉及组合风险与衍生品对冲执行；对冲名义金额和副作用未量化，需人工复核。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T34</w:t>
            </w:r>
          </w:p>
        </w:tc>
        <w:tc>
          <w:tcPr>
            <w:tcW w:type="dxa" w:w="2556"/>
            <w:vAlign w:val="top"/>
          </w:tcPr>
          <w:p>
            <w:r>
              <w:t>财务、投资与会计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属于高风险IFRS 16会计模型；关键数值虽正确，但零公式、错误月份标签及缺少控制检查使模型无法可靠追踪，需人工复核。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T35</w:t>
            </w:r>
          </w:p>
        </w:tc>
        <w:tc>
          <w:tcPr>
            <w:tcW w:type="dxa" w:w="2556"/>
            <w:vAlign w:val="top"/>
          </w:tcPr>
          <w:p>
            <w:r>
              <w:t>财务、投资与会计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属于高风险采购财务模型；可见现金流能复算正确NPV，但工作簿零公式且没有敏感性，模型可编辑性和决策稳健性需人工复核。</w:t>
            </w:r>
          </w:p>
        </w:tc>
      </w:tr>
      <w:tr>
        <w:tc>
          <w:tcPr>
            <w:tcW w:type="dxa" w:w="2556"/>
            <w:vAlign w:val="top"/>
          </w:tcPr>
          <w:p>
            <w:r>
              <w:t>T36</w:t>
            </w:r>
          </w:p>
        </w:tc>
        <w:tc>
          <w:tcPr>
            <w:tcW w:type="dxa" w:w="2556"/>
            <w:vAlign w:val="top"/>
          </w:tcPr>
          <w:p>
            <w:r>
              <w:t>运营、项目与采购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工作簿可完整解析，但“仅有偏移/工期表是否可视为简易甘特图”存在一定人工判定空间。</w:t>
            </w:r>
          </w:p>
        </w:tc>
      </w:tr>
      <w:tr>
        <w:tc>
          <w:tcPr>
            <w:tcW w:type="dxa" w:w="2556"/>
            <w:vAlign w:val="top"/>
          </w:tcPr>
          <w:p>
            <w:r>
              <w:t>T49</w:t>
            </w:r>
          </w:p>
        </w:tc>
        <w:tc>
          <w:tcPr>
            <w:tcW w:type="dxa" w:w="2556"/>
            <w:vAlign w:val="top"/>
          </w:tcPr>
          <w:p>
            <w:r>
              <w:t>综合代理式白领任务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法律高风险任务且“自第12个月起”是否构成改变终止权直接决定CAP，需人工复核原文语义与封顶适用。</w:t>
            </w:r>
          </w:p>
        </w:tc>
      </w:tr>
      <w:tr>
        <w:tc>
          <w:tcPr>
            <w:tcW w:type="dxa" w:w="2556"/>
            <w:vAlign w:val="top"/>
          </w:tcPr>
          <w:p>
            <w:r>
              <w:t>T50</w:t>
            </w:r>
          </w:p>
        </w:tc>
        <w:tc>
          <w:tcPr>
            <w:tcW w:type="dxa" w:w="2556"/>
            <w:vAlign w:val="top"/>
          </w:tcPr>
          <w:p>
            <w:r>
              <w:t>综合代理式白领任务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含财务计算且XLSX无真实公式；另外DOCX未保存渲染页数或分页标记，建议人工用Office确认最终分页与展示效果。</w:t>
            </w:r>
          </w:p>
        </w:tc>
      </w:tr>
    </w:tbl>
    <w:p/>
    <w:p>
      <w:r>
        <w:t>复核优先级：先检查损坏/不可解析文件与 CAP 任务，再检查法律、财务、隐私高风险题和低置信度题。GPT 初评不替代高风险题人工判断。</w:t>
      </w:r>
    </w:p>
    <w:p>
      <w:pPr>
        <w:pStyle w:val="Heading1"/>
      </w:pPr>
      <w:r>
        <w:t>逐题得分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领域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小计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最终分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CAP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人工复核</w:t>
            </w:r>
          </w:p>
        </w:tc>
      </w:tr>
      <w:tr>
        <w:tc>
          <w:tcPr>
            <w:tcW w:type="dxa" w:w="1704"/>
            <w:vAlign w:val="top"/>
          </w:tcPr>
          <w:p>
            <w:r>
              <w:t>T01</w:t>
            </w:r>
          </w:p>
        </w:tc>
        <w:tc>
          <w:tcPr>
            <w:tcW w:type="dxa" w:w="1704"/>
            <w:vAlign w:val="top"/>
          </w:tcPr>
          <w:p>
            <w:r>
              <w:t>管理沟通与写作</w:t>
            </w:r>
          </w:p>
        </w:tc>
        <w:tc>
          <w:tcPr>
            <w:tcW w:type="dxa" w:w="1704"/>
            <w:vAlign w:val="top"/>
          </w:tcPr>
          <w:p>
            <w:r>
              <w:t>7.6</w:t>
            </w:r>
          </w:p>
        </w:tc>
        <w:tc>
          <w:tcPr>
            <w:tcW w:type="dxa" w:w="1704"/>
            <w:vAlign w:val="top"/>
          </w:tcPr>
          <w:p>
            <w:r>
              <w:t>7.6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T02</w:t>
            </w:r>
          </w:p>
        </w:tc>
        <w:tc>
          <w:tcPr>
            <w:tcW w:type="dxa" w:w="1704"/>
            <w:vAlign w:val="top"/>
          </w:tcPr>
          <w:p>
            <w:r>
              <w:t>管理沟通与写作</w:t>
            </w:r>
          </w:p>
        </w:tc>
        <w:tc>
          <w:tcPr>
            <w:tcW w:type="dxa" w:w="1704"/>
            <w:vAlign w:val="top"/>
          </w:tcPr>
          <w:p>
            <w:r>
              <w:t>9.2</w:t>
            </w:r>
          </w:p>
        </w:tc>
        <w:tc>
          <w:tcPr>
            <w:tcW w:type="dxa" w:w="1704"/>
            <w:vAlign w:val="top"/>
          </w:tcPr>
          <w:p>
            <w:r>
              <w:t>9.2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T03</w:t>
            </w:r>
          </w:p>
        </w:tc>
        <w:tc>
          <w:tcPr>
            <w:tcW w:type="dxa" w:w="1704"/>
            <w:vAlign w:val="top"/>
          </w:tcPr>
          <w:p>
            <w:r>
              <w:t>管理沟通与写作</w:t>
            </w:r>
          </w:p>
        </w:tc>
        <w:tc>
          <w:tcPr>
            <w:tcW w:type="dxa" w:w="1704"/>
            <w:vAlign w:val="top"/>
          </w:tcPr>
          <w:p>
            <w:r>
              <w:t>8.1</w:t>
            </w:r>
          </w:p>
        </w:tc>
        <w:tc>
          <w:tcPr>
            <w:tcW w:type="dxa" w:w="1704"/>
            <w:vAlign w:val="top"/>
          </w:tcPr>
          <w:p>
            <w:r>
              <w:t>8.1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T04</w:t>
            </w:r>
          </w:p>
        </w:tc>
        <w:tc>
          <w:tcPr>
            <w:tcW w:type="dxa" w:w="1704"/>
            <w:vAlign w:val="top"/>
          </w:tcPr>
          <w:p>
            <w:r>
              <w:t>管理沟通与写作</w:t>
            </w:r>
          </w:p>
        </w:tc>
        <w:tc>
          <w:tcPr>
            <w:tcW w:type="dxa" w:w="1704"/>
            <w:vAlign w:val="top"/>
          </w:tcPr>
          <w:p>
            <w:r>
              <w:t>9.9</w:t>
            </w:r>
          </w:p>
        </w:tc>
        <w:tc>
          <w:tcPr>
            <w:tcW w:type="dxa" w:w="1704"/>
            <w:vAlign w:val="top"/>
          </w:tcPr>
          <w:p>
            <w:r>
              <w:t>9.9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T05</w:t>
            </w:r>
          </w:p>
        </w:tc>
        <w:tc>
          <w:tcPr>
            <w:tcW w:type="dxa" w:w="1704"/>
            <w:vAlign w:val="top"/>
          </w:tcPr>
          <w:p>
            <w:r>
              <w:t>管理沟通与写作</w:t>
            </w:r>
          </w:p>
        </w:tc>
        <w:tc>
          <w:tcPr>
            <w:tcW w:type="dxa" w:w="1704"/>
            <w:vAlign w:val="top"/>
          </w:tcPr>
          <w:p>
            <w:r>
              <w:t>8.0</w:t>
            </w:r>
          </w:p>
        </w:tc>
        <w:tc>
          <w:tcPr>
            <w:tcW w:type="dxa" w:w="1704"/>
            <w:vAlign w:val="top"/>
          </w:tcPr>
          <w:p>
            <w:r>
              <w:t>8.0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T06</w:t>
            </w:r>
          </w:p>
        </w:tc>
        <w:tc>
          <w:tcPr>
            <w:tcW w:type="dxa" w:w="1704"/>
            <w:vAlign w:val="top"/>
          </w:tcPr>
          <w:p>
            <w:r>
              <w:t>演示与可视化</w:t>
            </w:r>
          </w:p>
        </w:tc>
        <w:tc>
          <w:tcPr>
            <w:tcW w:type="dxa" w:w="1704"/>
            <w:vAlign w:val="top"/>
          </w:tcPr>
          <w:p>
            <w:r>
              <w:t>9.5</w:t>
            </w:r>
          </w:p>
        </w:tc>
        <w:tc>
          <w:tcPr>
            <w:tcW w:type="dxa" w:w="1704"/>
            <w:vAlign w:val="top"/>
          </w:tcPr>
          <w:p>
            <w:r>
              <w:t>9.5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T07</w:t>
            </w:r>
          </w:p>
        </w:tc>
        <w:tc>
          <w:tcPr>
            <w:tcW w:type="dxa" w:w="1704"/>
            <w:vAlign w:val="top"/>
          </w:tcPr>
          <w:p>
            <w:r>
              <w:t>演示与可视化</w:t>
            </w:r>
          </w:p>
        </w:tc>
        <w:tc>
          <w:tcPr>
            <w:tcW w:type="dxa" w:w="1704"/>
            <w:vAlign w:val="top"/>
          </w:tcPr>
          <w:p>
            <w:r>
              <w:t>8.3</w:t>
            </w:r>
          </w:p>
        </w:tc>
        <w:tc>
          <w:tcPr>
            <w:tcW w:type="dxa" w:w="1704"/>
            <w:vAlign w:val="top"/>
          </w:tcPr>
          <w:p>
            <w:r>
              <w:t>8.3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T08</w:t>
            </w:r>
          </w:p>
        </w:tc>
        <w:tc>
          <w:tcPr>
            <w:tcW w:type="dxa" w:w="1704"/>
            <w:vAlign w:val="top"/>
          </w:tcPr>
          <w:p>
            <w:r>
              <w:t>演示与可视化</w:t>
            </w:r>
          </w:p>
        </w:tc>
        <w:tc>
          <w:tcPr>
            <w:tcW w:type="dxa" w:w="1704"/>
            <w:vAlign w:val="top"/>
          </w:tcPr>
          <w:p>
            <w:r>
              <w:t>7.6</w:t>
            </w:r>
          </w:p>
        </w:tc>
        <w:tc>
          <w:tcPr>
            <w:tcW w:type="dxa" w:w="1704"/>
            <w:vAlign w:val="top"/>
          </w:tcPr>
          <w:p>
            <w:r>
              <w:t>7.6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T09</w:t>
            </w:r>
          </w:p>
        </w:tc>
        <w:tc>
          <w:tcPr>
            <w:tcW w:type="dxa" w:w="1704"/>
            <w:vAlign w:val="top"/>
          </w:tcPr>
          <w:p>
            <w:r>
              <w:t>演示与可视化</w:t>
            </w:r>
          </w:p>
        </w:tc>
        <w:tc>
          <w:tcPr>
            <w:tcW w:type="dxa" w:w="1704"/>
            <w:vAlign w:val="top"/>
          </w:tcPr>
          <w:p>
            <w:r>
              <w:t>8.5</w:t>
            </w:r>
          </w:p>
        </w:tc>
        <w:tc>
          <w:tcPr>
            <w:tcW w:type="dxa" w:w="1704"/>
            <w:vAlign w:val="top"/>
          </w:tcPr>
          <w:p>
            <w:r>
              <w:t>8.5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T10</w:t>
            </w:r>
          </w:p>
        </w:tc>
        <w:tc>
          <w:tcPr>
            <w:tcW w:type="dxa" w:w="1704"/>
            <w:vAlign w:val="top"/>
          </w:tcPr>
          <w:p>
            <w:r>
              <w:t>演示与可视化</w:t>
            </w:r>
          </w:p>
        </w:tc>
        <w:tc>
          <w:tcPr>
            <w:tcW w:type="dxa" w:w="1704"/>
            <w:vAlign w:val="top"/>
          </w:tcPr>
          <w:p>
            <w:r>
              <w:t>8.4</w:t>
            </w:r>
          </w:p>
        </w:tc>
        <w:tc>
          <w:tcPr>
            <w:tcW w:type="dxa" w:w="1704"/>
            <w:vAlign w:val="top"/>
          </w:tcPr>
          <w:p>
            <w:r>
              <w:t>8.4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T11</w:t>
            </w:r>
          </w:p>
        </w:tc>
        <w:tc>
          <w:tcPr>
            <w:tcW w:type="dxa" w:w="1704"/>
            <w:vAlign w:val="top"/>
          </w:tcPr>
          <w:p>
            <w:r>
              <w:t>电子表格与数据处理</w:t>
            </w:r>
          </w:p>
        </w:tc>
        <w:tc>
          <w:tcPr>
            <w:tcW w:type="dxa" w:w="1704"/>
            <w:vAlign w:val="top"/>
          </w:tcPr>
          <w:p>
            <w:r>
              <w:t>7.9</w:t>
            </w:r>
          </w:p>
        </w:tc>
        <w:tc>
          <w:tcPr>
            <w:tcW w:type="dxa" w:w="1704"/>
            <w:vAlign w:val="top"/>
          </w:tcPr>
          <w:p>
            <w:r>
              <w:t>7.9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T12</w:t>
            </w:r>
          </w:p>
        </w:tc>
        <w:tc>
          <w:tcPr>
            <w:tcW w:type="dxa" w:w="1704"/>
            <w:vAlign w:val="top"/>
          </w:tcPr>
          <w:p>
            <w:r>
              <w:t>电子表格与数据处理</w:t>
            </w:r>
          </w:p>
        </w:tc>
        <w:tc>
          <w:tcPr>
            <w:tcW w:type="dxa" w:w="1704"/>
            <w:vAlign w:val="top"/>
          </w:tcPr>
          <w:p>
            <w:r>
              <w:t>6.3</w:t>
            </w:r>
          </w:p>
        </w:tc>
        <w:tc>
          <w:tcPr>
            <w:tcW w:type="dxa" w:w="1704"/>
            <w:vAlign w:val="top"/>
          </w:tcPr>
          <w:p>
            <w:r>
              <w:t>6.3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T13</w:t>
            </w:r>
          </w:p>
        </w:tc>
        <w:tc>
          <w:tcPr>
            <w:tcW w:type="dxa" w:w="1704"/>
            <w:vAlign w:val="top"/>
          </w:tcPr>
          <w:p>
            <w:r>
              <w:t>电子表格与数据处理</w:t>
            </w:r>
          </w:p>
        </w:tc>
        <w:tc>
          <w:tcPr>
            <w:tcW w:type="dxa" w:w="1704"/>
            <w:vAlign w:val="top"/>
          </w:tcPr>
          <w:p>
            <w:r>
              <w:t>8.1</w:t>
            </w:r>
          </w:p>
        </w:tc>
        <w:tc>
          <w:tcPr>
            <w:tcW w:type="dxa" w:w="1704"/>
            <w:vAlign w:val="top"/>
          </w:tcPr>
          <w:p>
            <w:r>
              <w:t>8.1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T14</w:t>
            </w:r>
          </w:p>
        </w:tc>
        <w:tc>
          <w:tcPr>
            <w:tcW w:type="dxa" w:w="1704"/>
            <w:vAlign w:val="top"/>
          </w:tcPr>
          <w:p>
            <w:r>
              <w:t>电子表格与数据处理</w:t>
            </w:r>
          </w:p>
        </w:tc>
        <w:tc>
          <w:tcPr>
            <w:tcW w:type="dxa" w:w="1704"/>
            <w:vAlign w:val="top"/>
          </w:tcPr>
          <w:p>
            <w:r>
              <w:t>5.5</w:t>
            </w:r>
          </w:p>
        </w:tc>
        <w:tc>
          <w:tcPr>
            <w:tcW w:type="dxa" w:w="1704"/>
            <w:vAlign w:val="top"/>
          </w:tcPr>
          <w:p>
            <w:r>
              <w:t>5.5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T15</w:t>
            </w:r>
          </w:p>
        </w:tc>
        <w:tc>
          <w:tcPr>
            <w:tcW w:type="dxa" w:w="1704"/>
            <w:vAlign w:val="top"/>
          </w:tcPr>
          <w:p>
            <w:r>
              <w:t>电子表格与数据处理</w:t>
            </w:r>
          </w:p>
        </w:tc>
        <w:tc>
          <w:tcPr>
            <w:tcW w:type="dxa" w:w="1704"/>
            <w:vAlign w:val="top"/>
          </w:tcPr>
          <w:p>
            <w:r>
              <w:t>6.2</w:t>
            </w:r>
          </w:p>
        </w:tc>
        <w:tc>
          <w:tcPr>
            <w:tcW w:type="dxa" w:w="1704"/>
            <w:vAlign w:val="top"/>
          </w:tcPr>
          <w:p>
            <w:r>
              <w:t>6.2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T16</w:t>
            </w:r>
          </w:p>
        </w:tc>
        <w:tc>
          <w:tcPr>
            <w:tcW w:type="dxa" w:w="1704"/>
            <w:vAlign w:val="top"/>
          </w:tcPr>
          <w:p>
            <w:r>
              <w:t>营销、销售与客户</w:t>
            </w:r>
          </w:p>
        </w:tc>
        <w:tc>
          <w:tcPr>
            <w:tcW w:type="dxa" w:w="1704"/>
            <w:vAlign w:val="top"/>
          </w:tcPr>
          <w:p>
            <w:r>
              <w:t>8.8</w:t>
            </w:r>
          </w:p>
        </w:tc>
        <w:tc>
          <w:tcPr>
            <w:tcW w:type="dxa" w:w="1704"/>
            <w:vAlign w:val="top"/>
          </w:tcPr>
          <w:p>
            <w:r>
              <w:t>8.8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T17</w:t>
            </w:r>
          </w:p>
        </w:tc>
        <w:tc>
          <w:tcPr>
            <w:tcW w:type="dxa" w:w="1704"/>
            <w:vAlign w:val="top"/>
          </w:tcPr>
          <w:p>
            <w:r>
              <w:t>营销、销售与客户</w:t>
            </w:r>
          </w:p>
        </w:tc>
        <w:tc>
          <w:tcPr>
            <w:tcW w:type="dxa" w:w="1704"/>
            <w:vAlign w:val="top"/>
          </w:tcPr>
          <w:p>
            <w:r>
              <w:t>8.1</w:t>
            </w:r>
          </w:p>
        </w:tc>
        <w:tc>
          <w:tcPr>
            <w:tcW w:type="dxa" w:w="1704"/>
            <w:vAlign w:val="top"/>
          </w:tcPr>
          <w:p>
            <w:r>
              <w:t>8.1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T18</w:t>
            </w:r>
          </w:p>
        </w:tc>
        <w:tc>
          <w:tcPr>
            <w:tcW w:type="dxa" w:w="1704"/>
            <w:vAlign w:val="top"/>
          </w:tcPr>
          <w:p>
            <w:r>
              <w:t>营销、销售与客户</w:t>
            </w:r>
          </w:p>
        </w:tc>
        <w:tc>
          <w:tcPr>
            <w:tcW w:type="dxa" w:w="1704"/>
            <w:vAlign w:val="top"/>
          </w:tcPr>
          <w:p>
            <w:r>
              <w:t>8.4</w:t>
            </w:r>
          </w:p>
        </w:tc>
        <w:tc>
          <w:tcPr>
            <w:tcW w:type="dxa" w:w="1704"/>
            <w:vAlign w:val="top"/>
          </w:tcPr>
          <w:p>
            <w:r>
              <w:t>8.4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T19</w:t>
            </w:r>
          </w:p>
        </w:tc>
        <w:tc>
          <w:tcPr>
            <w:tcW w:type="dxa" w:w="1704"/>
            <w:vAlign w:val="top"/>
          </w:tcPr>
          <w:p>
            <w:r>
              <w:t>营销、销售与客户</w:t>
            </w:r>
          </w:p>
        </w:tc>
        <w:tc>
          <w:tcPr>
            <w:tcW w:type="dxa" w:w="1704"/>
            <w:vAlign w:val="top"/>
          </w:tcPr>
          <w:p>
            <w:r>
              <w:t>9.3</w:t>
            </w:r>
          </w:p>
        </w:tc>
        <w:tc>
          <w:tcPr>
            <w:tcW w:type="dxa" w:w="1704"/>
            <w:vAlign w:val="top"/>
          </w:tcPr>
          <w:p>
            <w:r>
              <w:t>9.3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T20</w:t>
            </w:r>
          </w:p>
        </w:tc>
        <w:tc>
          <w:tcPr>
            <w:tcW w:type="dxa" w:w="1704"/>
            <w:vAlign w:val="top"/>
          </w:tcPr>
          <w:p>
            <w:r>
              <w:t>营销、销售与客户</w:t>
            </w:r>
          </w:p>
        </w:tc>
        <w:tc>
          <w:tcPr>
            <w:tcW w:type="dxa" w:w="1704"/>
            <w:vAlign w:val="top"/>
          </w:tcPr>
          <w:p>
            <w:r>
              <w:t>8.5</w:t>
            </w:r>
          </w:p>
        </w:tc>
        <w:tc>
          <w:tcPr>
            <w:tcW w:type="dxa" w:w="1704"/>
            <w:vAlign w:val="top"/>
          </w:tcPr>
          <w:p>
            <w:r>
              <w:t>8.5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T21</w:t>
            </w:r>
          </w:p>
        </w:tc>
        <w:tc>
          <w:tcPr>
            <w:tcW w:type="dxa" w:w="1704"/>
            <w:vAlign w:val="top"/>
          </w:tcPr>
          <w:p>
            <w:r>
              <w:t>法律、合规与政策</w:t>
            </w:r>
          </w:p>
        </w:tc>
        <w:tc>
          <w:tcPr>
            <w:tcW w:type="dxa" w:w="1704"/>
            <w:vAlign w:val="top"/>
          </w:tcPr>
          <w:p>
            <w:r>
              <w:t>9.2</w:t>
            </w:r>
          </w:p>
        </w:tc>
        <w:tc>
          <w:tcPr>
            <w:tcW w:type="dxa" w:w="1704"/>
            <w:vAlign w:val="top"/>
          </w:tcPr>
          <w:p>
            <w:r>
              <w:t>9.2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T22</w:t>
            </w:r>
          </w:p>
        </w:tc>
        <w:tc>
          <w:tcPr>
            <w:tcW w:type="dxa" w:w="1704"/>
            <w:vAlign w:val="top"/>
          </w:tcPr>
          <w:p>
            <w:r>
              <w:t>法律、合规与政策</w:t>
            </w:r>
          </w:p>
        </w:tc>
        <w:tc>
          <w:tcPr>
            <w:tcW w:type="dxa" w:w="1704"/>
            <w:vAlign w:val="top"/>
          </w:tcPr>
          <w:p>
            <w:r>
              <w:t>7.6</w:t>
            </w:r>
          </w:p>
        </w:tc>
        <w:tc>
          <w:tcPr>
            <w:tcW w:type="dxa" w:w="1704"/>
            <w:vAlign w:val="top"/>
          </w:tcPr>
          <w:p>
            <w:r>
              <w:t>7.6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T23</w:t>
            </w:r>
          </w:p>
        </w:tc>
        <w:tc>
          <w:tcPr>
            <w:tcW w:type="dxa" w:w="1704"/>
            <w:vAlign w:val="top"/>
          </w:tcPr>
          <w:p>
            <w:r>
              <w:t>法律、合规与政策</w:t>
            </w:r>
          </w:p>
        </w:tc>
        <w:tc>
          <w:tcPr>
            <w:tcW w:type="dxa" w:w="1704"/>
            <w:vAlign w:val="top"/>
          </w:tcPr>
          <w:p>
            <w:r>
              <w:t>8.2</w:t>
            </w:r>
          </w:p>
        </w:tc>
        <w:tc>
          <w:tcPr>
            <w:tcW w:type="dxa" w:w="1704"/>
            <w:vAlign w:val="top"/>
          </w:tcPr>
          <w:p>
            <w:r>
              <w:t>8.2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T24</w:t>
            </w:r>
          </w:p>
        </w:tc>
        <w:tc>
          <w:tcPr>
            <w:tcW w:type="dxa" w:w="1704"/>
            <w:vAlign w:val="top"/>
          </w:tcPr>
          <w:p>
            <w:r>
              <w:t>法律、合规与政策</w:t>
            </w:r>
          </w:p>
        </w:tc>
        <w:tc>
          <w:tcPr>
            <w:tcW w:type="dxa" w:w="1704"/>
            <w:vAlign w:val="top"/>
          </w:tcPr>
          <w:p>
            <w:r>
              <w:t>8.3</w:t>
            </w:r>
          </w:p>
        </w:tc>
        <w:tc>
          <w:tcPr>
            <w:tcW w:type="dxa" w:w="1704"/>
            <w:vAlign w:val="top"/>
          </w:tcPr>
          <w:p>
            <w:r>
              <w:t>8.3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T25</w:t>
            </w:r>
          </w:p>
        </w:tc>
        <w:tc>
          <w:tcPr>
            <w:tcW w:type="dxa" w:w="1704"/>
            <w:vAlign w:val="top"/>
          </w:tcPr>
          <w:p>
            <w:r>
              <w:t>法律、合规与政策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T26</w:t>
            </w:r>
          </w:p>
        </w:tc>
        <w:tc>
          <w:tcPr>
            <w:tcW w:type="dxa" w:w="1704"/>
            <w:vAlign w:val="top"/>
          </w:tcPr>
          <w:p>
            <w:r>
              <w:t>研究、分析与尽调</w:t>
            </w:r>
          </w:p>
        </w:tc>
        <w:tc>
          <w:tcPr>
            <w:tcW w:type="dxa" w:w="1704"/>
            <w:vAlign w:val="top"/>
          </w:tcPr>
          <w:p>
            <w:r>
              <w:t>9.0</w:t>
            </w:r>
          </w:p>
        </w:tc>
        <w:tc>
          <w:tcPr>
            <w:tcW w:type="dxa" w:w="1704"/>
            <w:vAlign w:val="top"/>
          </w:tcPr>
          <w:p>
            <w:r>
              <w:t>9.0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T27</w:t>
            </w:r>
          </w:p>
        </w:tc>
        <w:tc>
          <w:tcPr>
            <w:tcW w:type="dxa" w:w="1704"/>
            <w:vAlign w:val="top"/>
          </w:tcPr>
          <w:p>
            <w:r>
              <w:t>研究、分析与尽调</w:t>
            </w:r>
          </w:p>
        </w:tc>
        <w:tc>
          <w:tcPr>
            <w:tcW w:type="dxa" w:w="1704"/>
            <w:vAlign w:val="top"/>
          </w:tcPr>
          <w:p>
            <w:r>
              <w:t>8.5</w:t>
            </w:r>
          </w:p>
        </w:tc>
        <w:tc>
          <w:tcPr>
            <w:tcW w:type="dxa" w:w="1704"/>
            <w:vAlign w:val="top"/>
          </w:tcPr>
          <w:p>
            <w:r>
              <w:t>8.5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T28</w:t>
            </w:r>
          </w:p>
        </w:tc>
        <w:tc>
          <w:tcPr>
            <w:tcW w:type="dxa" w:w="1704"/>
            <w:vAlign w:val="top"/>
          </w:tcPr>
          <w:p>
            <w:r>
              <w:t>研究、分析与尽调</w:t>
            </w:r>
          </w:p>
        </w:tc>
        <w:tc>
          <w:tcPr>
            <w:tcW w:type="dxa" w:w="1704"/>
            <w:vAlign w:val="top"/>
          </w:tcPr>
          <w:p>
            <w:r>
              <w:t>7.5</w:t>
            </w:r>
          </w:p>
        </w:tc>
        <w:tc>
          <w:tcPr>
            <w:tcW w:type="dxa" w:w="1704"/>
            <w:vAlign w:val="top"/>
          </w:tcPr>
          <w:p>
            <w:r>
              <w:t>7.5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T29</w:t>
            </w:r>
          </w:p>
        </w:tc>
        <w:tc>
          <w:tcPr>
            <w:tcW w:type="dxa" w:w="1704"/>
            <w:vAlign w:val="top"/>
          </w:tcPr>
          <w:p>
            <w:r>
              <w:t>研究、分析与尽调</w:t>
            </w:r>
          </w:p>
        </w:tc>
        <w:tc>
          <w:tcPr>
            <w:tcW w:type="dxa" w:w="1704"/>
            <w:vAlign w:val="top"/>
          </w:tcPr>
          <w:p>
            <w:r>
              <w:t>9.2</w:t>
            </w:r>
          </w:p>
        </w:tc>
        <w:tc>
          <w:tcPr>
            <w:tcW w:type="dxa" w:w="1704"/>
            <w:vAlign w:val="top"/>
          </w:tcPr>
          <w:p>
            <w:r>
              <w:t>9.2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T30</w:t>
            </w:r>
          </w:p>
        </w:tc>
        <w:tc>
          <w:tcPr>
            <w:tcW w:type="dxa" w:w="1704"/>
            <w:vAlign w:val="top"/>
          </w:tcPr>
          <w:p>
            <w:r>
              <w:t>研究、分析与尽调</w:t>
            </w:r>
          </w:p>
        </w:tc>
        <w:tc>
          <w:tcPr>
            <w:tcW w:type="dxa" w:w="1704"/>
            <w:vAlign w:val="top"/>
          </w:tcPr>
          <w:p>
            <w:r>
              <w:t>7.8</w:t>
            </w:r>
          </w:p>
        </w:tc>
        <w:tc>
          <w:tcPr>
            <w:tcW w:type="dxa" w:w="1704"/>
            <w:vAlign w:val="top"/>
          </w:tcPr>
          <w:p>
            <w:r>
              <w:t>7.8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T31</w:t>
            </w:r>
          </w:p>
        </w:tc>
        <w:tc>
          <w:tcPr>
            <w:tcW w:type="dxa" w:w="1704"/>
            <w:vAlign w:val="top"/>
          </w:tcPr>
          <w:p>
            <w:r>
              <w:t>财务、投资与会计</w:t>
            </w:r>
          </w:p>
        </w:tc>
        <w:tc>
          <w:tcPr>
            <w:tcW w:type="dxa" w:w="1704"/>
            <w:vAlign w:val="top"/>
          </w:tcPr>
          <w:p>
            <w:r>
              <w:t>9.5</w:t>
            </w:r>
          </w:p>
        </w:tc>
        <w:tc>
          <w:tcPr>
            <w:tcW w:type="dxa" w:w="1704"/>
            <w:vAlign w:val="top"/>
          </w:tcPr>
          <w:p>
            <w:r>
              <w:t>9.5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T32</w:t>
            </w:r>
          </w:p>
        </w:tc>
        <w:tc>
          <w:tcPr>
            <w:tcW w:type="dxa" w:w="1704"/>
            <w:vAlign w:val="top"/>
          </w:tcPr>
          <w:p>
            <w:r>
              <w:t>财务、投资与会计</w:t>
            </w:r>
          </w:p>
        </w:tc>
        <w:tc>
          <w:tcPr>
            <w:tcW w:type="dxa" w:w="1704"/>
            <w:vAlign w:val="top"/>
          </w:tcPr>
          <w:p>
            <w:r>
              <w:t>8.3</w:t>
            </w:r>
          </w:p>
        </w:tc>
        <w:tc>
          <w:tcPr>
            <w:tcW w:type="dxa" w:w="1704"/>
            <w:vAlign w:val="top"/>
          </w:tcPr>
          <w:p>
            <w:r>
              <w:t>8.3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T33</w:t>
            </w:r>
          </w:p>
        </w:tc>
        <w:tc>
          <w:tcPr>
            <w:tcW w:type="dxa" w:w="1704"/>
            <w:vAlign w:val="top"/>
          </w:tcPr>
          <w:p>
            <w:r>
              <w:t>财务、投资与会计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T34</w:t>
            </w:r>
          </w:p>
        </w:tc>
        <w:tc>
          <w:tcPr>
            <w:tcW w:type="dxa" w:w="1704"/>
            <w:vAlign w:val="top"/>
          </w:tcPr>
          <w:p>
            <w:r>
              <w:t>财务、投资与会计</w:t>
            </w:r>
          </w:p>
        </w:tc>
        <w:tc>
          <w:tcPr>
            <w:tcW w:type="dxa" w:w="1704"/>
            <w:vAlign w:val="top"/>
          </w:tcPr>
          <w:p>
            <w:r>
              <w:t>8.0</w:t>
            </w:r>
          </w:p>
        </w:tc>
        <w:tc>
          <w:tcPr>
            <w:tcW w:type="dxa" w:w="1704"/>
            <w:vAlign w:val="top"/>
          </w:tcPr>
          <w:p>
            <w:r>
              <w:t>8.0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T35</w:t>
            </w:r>
          </w:p>
        </w:tc>
        <w:tc>
          <w:tcPr>
            <w:tcW w:type="dxa" w:w="1704"/>
            <w:vAlign w:val="top"/>
          </w:tcPr>
          <w:p>
            <w:r>
              <w:t>财务、投资与会计</w:t>
            </w:r>
          </w:p>
        </w:tc>
        <w:tc>
          <w:tcPr>
            <w:tcW w:type="dxa" w:w="1704"/>
            <w:vAlign w:val="top"/>
          </w:tcPr>
          <w:p>
            <w:r>
              <w:t>7.3</w:t>
            </w:r>
          </w:p>
        </w:tc>
        <w:tc>
          <w:tcPr>
            <w:tcW w:type="dxa" w:w="1704"/>
            <w:vAlign w:val="top"/>
          </w:tcPr>
          <w:p>
            <w:r>
              <w:t>7.3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T36</w:t>
            </w:r>
          </w:p>
        </w:tc>
        <w:tc>
          <w:tcPr>
            <w:tcW w:type="dxa" w:w="1704"/>
            <w:vAlign w:val="top"/>
          </w:tcPr>
          <w:p>
            <w:r>
              <w:t>运营、项目与采购</w:t>
            </w:r>
          </w:p>
        </w:tc>
        <w:tc>
          <w:tcPr>
            <w:tcW w:type="dxa" w:w="1704"/>
            <w:vAlign w:val="top"/>
          </w:tcPr>
          <w:p>
            <w:r>
              <w:t>7.2</w:t>
            </w:r>
          </w:p>
        </w:tc>
        <w:tc>
          <w:tcPr>
            <w:tcW w:type="dxa" w:w="1704"/>
            <w:vAlign w:val="top"/>
          </w:tcPr>
          <w:p>
            <w:r>
              <w:t>7.2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T37</w:t>
            </w:r>
          </w:p>
        </w:tc>
        <w:tc>
          <w:tcPr>
            <w:tcW w:type="dxa" w:w="1704"/>
            <w:vAlign w:val="top"/>
          </w:tcPr>
          <w:p>
            <w:r>
              <w:t>运营、项目与采购</w:t>
            </w:r>
          </w:p>
        </w:tc>
        <w:tc>
          <w:tcPr>
            <w:tcW w:type="dxa" w:w="1704"/>
            <w:vAlign w:val="top"/>
          </w:tcPr>
          <w:p>
            <w:r>
              <w:t>9.0</w:t>
            </w:r>
          </w:p>
        </w:tc>
        <w:tc>
          <w:tcPr>
            <w:tcW w:type="dxa" w:w="1704"/>
            <w:vAlign w:val="top"/>
          </w:tcPr>
          <w:p>
            <w:r>
              <w:t>9.0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T38</w:t>
            </w:r>
          </w:p>
        </w:tc>
        <w:tc>
          <w:tcPr>
            <w:tcW w:type="dxa" w:w="1704"/>
            <w:vAlign w:val="top"/>
          </w:tcPr>
          <w:p>
            <w:r>
              <w:t>运营、项目与采购</w:t>
            </w:r>
          </w:p>
        </w:tc>
        <w:tc>
          <w:tcPr>
            <w:tcW w:type="dxa" w:w="1704"/>
            <w:vAlign w:val="top"/>
          </w:tcPr>
          <w:p>
            <w:r>
              <w:t>8.7</w:t>
            </w:r>
          </w:p>
        </w:tc>
        <w:tc>
          <w:tcPr>
            <w:tcW w:type="dxa" w:w="1704"/>
            <w:vAlign w:val="top"/>
          </w:tcPr>
          <w:p>
            <w:r>
              <w:t>8.7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T39</w:t>
            </w:r>
          </w:p>
        </w:tc>
        <w:tc>
          <w:tcPr>
            <w:tcW w:type="dxa" w:w="1704"/>
            <w:vAlign w:val="top"/>
          </w:tcPr>
          <w:p>
            <w:r>
              <w:t>运营、项目与采购</w:t>
            </w:r>
          </w:p>
        </w:tc>
        <w:tc>
          <w:tcPr>
            <w:tcW w:type="dxa" w:w="1704"/>
            <w:vAlign w:val="top"/>
          </w:tcPr>
          <w:p>
            <w:r>
              <w:t>6.6</w:t>
            </w:r>
          </w:p>
        </w:tc>
        <w:tc>
          <w:tcPr>
            <w:tcW w:type="dxa" w:w="1704"/>
            <w:vAlign w:val="top"/>
          </w:tcPr>
          <w:p>
            <w:r>
              <w:t>6.6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T40</w:t>
            </w:r>
          </w:p>
        </w:tc>
        <w:tc>
          <w:tcPr>
            <w:tcW w:type="dxa" w:w="1704"/>
            <w:vAlign w:val="top"/>
          </w:tcPr>
          <w:p>
            <w:r>
              <w:t>运营、项目与采购</w:t>
            </w:r>
          </w:p>
        </w:tc>
        <w:tc>
          <w:tcPr>
            <w:tcW w:type="dxa" w:w="1704"/>
            <w:vAlign w:val="top"/>
          </w:tcPr>
          <w:p>
            <w:r>
              <w:t>8.6</w:t>
            </w:r>
          </w:p>
        </w:tc>
        <w:tc>
          <w:tcPr>
            <w:tcW w:type="dxa" w:w="1704"/>
            <w:vAlign w:val="top"/>
          </w:tcPr>
          <w:p>
            <w:r>
              <w:t>8.6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T41</w:t>
            </w:r>
          </w:p>
        </w:tc>
        <w:tc>
          <w:tcPr>
            <w:tcW w:type="dxa" w:w="1704"/>
            <w:vAlign w:val="top"/>
          </w:tcPr>
          <w:p>
            <w:r>
              <w:t>人力资源与内部沟通</w:t>
            </w:r>
          </w:p>
        </w:tc>
        <w:tc>
          <w:tcPr>
            <w:tcW w:type="dxa" w:w="1704"/>
            <w:vAlign w:val="top"/>
          </w:tcPr>
          <w:p>
            <w:r>
              <w:t>8.9</w:t>
            </w:r>
          </w:p>
        </w:tc>
        <w:tc>
          <w:tcPr>
            <w:tcW w:type="dxa" w:w="1704"/>
            <w:vAlign w:val="top"/>
          </w:tcPr>
          <w:p>
            <w:r>
              <w:t>8.9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T42</w:t>
            </w:r>
          </w:p>
        </w:tc>
        <w:tc>
          <w:tcPr>
            <w:tcW w:type="dxa" w:w="1704"/>
            <w:vAlign w:val="top"/>
          </w:tcPr>
          <w:p>
            <w:r>
              <w:t>人力资源与内部沟通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T43</w:t>
            </w:r>
          </w:p>
        </w:tc>
        <w:tc>
          <w:tcPr>
            <w:tcW w:type="dxa" w:w="1704"/>
            <w:vAlign w:val="top"/>
          </w:tcPr>
          <w:p>
            <w:r>
              <w:t>人力资源与内部沟通</w:t>
            </w:r>
          </w:p>
        </w:tc>
        <w:tc>
          <w:tcPr>
            <w:tcW w:type="dxa" w:w="1704"/>
            <w:vAlign w:val="top"/>
          </w:tcPr>
          <w:p>
            <w:r>
              <w:t>9.8</w:t>
            </w:r>
          </w:p>
        </w:tc>
        <w:tc>
          <w:tcPr>
            <w:tcW w:type="dxa" w:w="1704"/>
            <w:vAlign w:val="top"/>
          </w:tcPr>
          <w:p>
            <w:r>
              <w:t>9.8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T44</w:t>
            </w:r>
          </w:p>
        </w:tc>
        <w:tc>
          <w:tcPr>
            <w:tcW w:type="dxa" w:w="1704"/>
            <w:vAlign w:val="top"/>
          </w:tcPr>
          <w:p>
            <w:r>
              <w:t>人力资源与内部沟通</w:t>
            </w:r>
          </w:p>
        </w:tc>
        <w:tc>
          <w:tcPr>
            <w:tcW w:type="dxa" w:w="1704"/>
            <w:vAlign w:val="top"/>
          </w:tcPr>
          <w:p>
            <w:r>
              <w:t>9.3</w:t>
            </w:r>
          </w:p>
        </w:tc>
        <w:tc>
          <w:tcPr>
            <w:tcW w:type="dxa" w:w="1704"/>
            <w:vAlign w:val="top"/>
          </w:tcPr>
          <w:p>
            <w:r>
              <w:t>9.3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T45</w:t>
            </w:r>
          </w:p>
        </w:tc>
        <w:tc>
          <w:tcPr>
            <w:tcW w:type="dxa" w:w="1704"/>
            <w:vAlign w:val="top"/>
          </w:tcPr>
          <w:p>
            <w:r>
              <w:t>人力资源与内部沟通</w:t>
            </w:r>
          </w:p>
        </w:tc>
        <w:tc>
          <w:tcPr>
            <w:tcW w:type="dxa" w:w="1704"/>
            <w:vAlign w:val="top"/>
          </w:tcPr>
          <w:p>
            <w:r>
              <w:t>8.4</w:t>
            </w:r>
          </w:p>
        </w:tc>
        <w:tc>
          <w:tcPr>
            <w:tcW w:type="dxa" w:w="1704"/>
            <w:vAlign w:val="top"/>
          </w:tcPr>
          <w:p>
            <w:r>
              <w:t>8.4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T46</w:t>
            </w:r>
          </w:p>
        </w:tc>
        <w:tc>
          <w:tcPr>
            <w:tcW w:type="dxa" w:w="1704"/>
            <w:vAlign w:val="top"/>
          </w:tcPr>
          <w:p>
            <w:r>
              <w:t>综合代理式白领任务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T47</w:t>
            </w:r>
          </w:p>
        </w:tc>
        <w:tc>
          <w:tcPr>
            <w:tcW w:type="dxa" w:w="1704"/>
            <w:vAlign w:val="top"/>
          </w:tcPr>
          <w:p>
            <w:r>
              <w:t>综合代理式白领任务</w:t>
            </w:r>
          </w:p>
        </w:tc>
        <w:tc>
          <w:tcPr>
            <w:tcW w:type="dxa" w:w="1704"/>
            <w:vAlign w:val="top"/>
          </w:tcPr>
          <w:p>
            <w:r>
              <w:t>6.8</w:t>
            </w:r>
          </w:p>
        </w:tc>
        <w:tc>
          <w:tcPr>
            <w:tcW w:type="dxa" w:w="1704"/>
            <w:vAlign w:val="top"/>
          </w:tcPr>
          <w:p>
            <w:r>
              <w:t>6.8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T48</w:t>
            </w:r>
          </w:p>
        </w:tc>
        <w:tc>
          <w:tcPr>
            <w:tcW w:type="dxa" w:w="1704"/>
            <w:vAlign w:val="top"/>
          </w:tcPr>
          <w:p>
            <w:r>
              <w:t>综合代理式白领任务</w:t>
            </w:r>
          </w:p>
        </w:tc>
        <w:tc>
          <w:tcPr>
            <w:tcW w:type="dxa" w:w="1704"/>
            <w:vAlign w:val="top"/>
          </w:tcPr>
          <w:p>
            <w:r>
              <w:t>7.2</w:t>
            </w:r>
          </w:p>
        </w:tc>
        <w:tc>
          <w:tcPr>
            <w:tcW w:type="dxa" w:w="1704"/>
            <w:vAlign w:val="top"/>
          </w:tcPr>
          <w:p>
            <w:r>
              <w:t>7.2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</w:tr>
      <w:tr>
        <w:tc>
          <w:tcPr>
            <w:tcW w:type="dxa" w:w="1704"/>
            <w:vAlign w:val="top"/>
          </w:tcPr>
          <w:p>
            <w:r>
              <w:t>T49</w:t>
            </w:r>
          </w:p>
        </w:tc>
        <w:tc>
          <w:tcPr>
            <w:tcW w:type="dxa" w:w="1704"/>
            <w:vAlign w:val="top"/>
          </w:tcPr>
          <w:p>
            <w:r>
              <w:t>综合代理式白领任务</w:t>
            </w:r>
          </w:p>
        </w:tc>
        <w:tc>
          <w:tcPr>
            <w:tcW w:type="dxa" w:w="1704"/>
            <w:vAlign w:val="top"/>
          </w:tcPr>
          <w:p>
            <w:r>
              <w:t>9.1</w:t>
            </w:r>
          </w:p>
        </w:tc>
        <w:tc>
          <w:tcPr>
            <w:tcW w:type="dxa" w:w="1704"/>
            <w:vAlign w:val="top"/>
          </w:tcPr>
          <w:p>
            <w:r>
              <w:t>5.0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r>
              <w:t>T50</w:t>
            </w:r>
          </w:p>
        </w:tc>
        <w:tc>
          <w:tcPr>
            <w:tcW w:type="dxa" w:w="1704"/>
            <w:vAlign w:val="top"/>
          </w:tcPr>
          <w:p>
            <w:r>
              <w:t>综合代理式白领任务</w:t>
            </w:r>
          </w:p>
        </w:tc>
        <w:tc>
          <w:tcPr>
            <w:tcW w:type="dxa" w:w="1704"/>
            <w:vAlign w:val="top"/>
          </w:tcPr>
          <w:p>
            <w:r>
              <w:t>7.0</w:t>
            </w:r>
          </w:p>
        </w:tc>
        <w:tc>
          <w:tcPr>
            <w:tcW w:type="dxa" w:w="1704"/>
            <w:vAlign w:val="top"/>
          </w:tcPr>
          <w:p>
            <w:r>
              <w:t>7.0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YES</w:t>
            </w:r>
          </w:p>
        </w:tc>
      </w:tr>
    </w:tbl>
    <w:p/>
    <w:p>
      <w:r>
        <w:t>详细维度证据、扣分理由与 QA 校验见 GPT5.6_batch_scores.xlsx。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