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决策备忘录：CRM 替换方案选择</w:t>
      </w:r>
    </w:p>
    <w:p>
      <w:r>
        <w:rPr>
          <w:rFonts w:ascii="Microsoft YaHei" w:hAnsi="Microsoft YaHei" w:eastAsia="Microsoft YaHei"/>
          <w:b/>
          <w:sz w:val="18"/>
        </w:rPr>
        <w:t>致</w:t>
      </w:r>
      <w:r>
        <w:rPr>
          <w:rFonts w:ascii="Microsoft YaHei" w:hAnsi="Microsoft YaHei" w:eastAsia="Microsoft YaHei"/>
          <w:sz w:val="18"/>
        </w:rPr>
        <w:t xml:space="preserve">：管理层决策会 </w:t>
      </w:r>
      <w:r>
        <w:rPr>
          <w:rFonts w:ascii="Microsoft YaHei" w:hAnsi="Microsoft YaHei" w:eastAsia="Microsoft YaHei"/>
          <w:b/>
          <w:sz w:val="18"/>
        </w:rPr>
        <w:t>自</w:t>
      </w:r>
      <w:r>
        <w:rPr>
          <w:rFonts w:ascii="Microsoft YaHei" w:hAnsi="Microsoft YaHei" w:eastAsia="Microsoft YaHei"/>
          <w:sz w:val="18"/>
        </w:rPr>
        <w:t xml:space="preserve">：COO 办公室项目经理 </w:t>
      </w:r>
      <w:r>
        <w:rPr>
          <w:rFonts w:ascii="Microsoft YaHei" w:hAnsi="Microsoft YaHei" w:eastAsia="Microsoft YaHei"/>
          <w:b/>
          <w:sz w:val="18"/>
        </w:rPr>
        <w:t>议题</w:t>
      </w:r>
      <w:r>
        <w:rPr>
          <w:rFonts w:ascii="Microsoft YaHei" w:hAnsi="Microsoft YaHei" w:eastAsia="Microsoft YaHei"/>
          <w:sz w:val="18"/>
        </w:rPr>
        <w:t>：在 Atlas / Boreal / Cedar 中选择 CRM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推荐</w:t>
      </w:r>
    </w:p>
    <w:p>
      <w:r>
        <w:rPr>
          <w:rFonts w:ascii="Microsoft YaHei" w:hAnsi="Microsoft YaHei" w:eastAsia="Microsoft YaHei"/>
          <w:sz w:val="18"/>
        </w:rPr>
        <w:t xml:space="preserve">推荐 </w:t>
      </w:r>
      <w:r>
        <w:rPr>
          <w:rFonts w:ascii="Microsoft YaHei" w:hAnsi="Microsoft YaHei" w:eastAsia="Microsoft YaHei"/>
          <w:b/>
          <w:sz w:val="18"/>
        </w:rPr>
        <w:t>Atlas</w:t>
      </w:r>
      <w:r>
        <w:rPr>
          <w:rFonts w:ascii="Microsoft YaHei" w:hAnsi="Microsoft YaHei" w:eastAsia="Microsoft YaHei"/>
          <w:sz w:val="18"/>
        </w:rPr>
        <w:t xml:space="preserve"> 作为唯一主方案；</w:t>
      </w:r>
      <w:r>
        <w:rPr>
          <w:rFonts w:ascii="Microsoft YaHei" w:hAnsi="Microsoft YaHei" w:eastAsia="Microsoft YaHei"/>
          <w:b/>
          <w:sz w:val="18"/>
        </w:rPr>
        <w:t>Cedar</w:t>
      </w:r>
      <w:r>
        <w:rPr>
          <w:rFonts w:ascii="Microsoft YaHei" w:hAnsi="Microsoft YaHei" w:eastAsia="Microsoft YaHei"/>
          <w:sz w:val="18"/>
        </w:rPr>
        <w:t xml:space="preserve"> 仅作为谈判失败时的有条件备选；</w:t>
      </w:r>
      <w:r>
        <w:rPr>
          <w:rFonts w:ascii="Microsoft YaHei" w:hAnsi="Microsoft YaHei" w:eastAsia="Microsoft YaHei"/>
          <w:b/>
          <w:sz w:val="18"/>
        </w:rPr>
        <w:t>Boreal 不可选</w:t>
      </w:r>
      <w:r>
        <w:rPr>
          <w:rFonts w:ascii="Microsoft YaHei" w:hAnsi="Microsoft YaHei" w:eastAsia="Microsoft YaHei"/>
          <w:sz w:val="18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硬性门槛筛选（不满足者不得为主推荐）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硬性要求</w:t>
            </w:r>
          </w:p>
        </w:tc>
        <w:tc>
          <w:tcPr>
            <w:tcW w:type="dxa" w:w="263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Atlas</w:t>
            </w:r>
          </w:p>
        </w:tc>
        <w:tc>
          <w:tcPr>
            <w:tcW w:type="dxa" w:w="263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Boreal</w:t>
            </w:r>
          </w:p>
        </w:tc>
        <w:tc>
          <w:tcPr>
            <w:tcW w:type="dxa" w:w="263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Cedar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境内数据驻留（信息安全不可豁免）</w:t>
            </w:r>
          </w:p>
        </w:tc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否（淘汰）</w:t>
            </w:r>
          </w:p>
        </w:tc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企业 SSO</w:t>
            </w:r>
          </w:p>
        </w:tc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关键流程覆盖率 ≥85%</w:t>
            </w:r>
          </w:p>
        </w:tc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90%</w:t>
            </w:r>
          </w:p>
        </w:tc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75%（不满足）</w:t>
            </w:r>
          </w:p>
        </w:tc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85%（刚达线）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13 周内可上线</w:t>
            </w:r>
          </w:p>
        </w:tc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12 周</w:t>
            </w:r>
          </w:p>
        </w:tc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8 周</w:t>
            </w:r>
          </w:p>
        </w:tc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16 周（不满足）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结论</w:t>
            </w:r>
          </w:p>
        </w:tc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全部满足</w:t>
            </w:r>
          </w:p>
        </w:tc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两项不满足</w:t>
            </w:r>
          </w:p>
        </w:tc>
        <w:tc>
          <w:tcPr>
            <w:tcW w:type="dxa" w:w="2635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上线周期不满足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三年总成本（万元，一次性实施费 + 3 年许可费，不折现）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方案</w:t>
            </w:r>
          </w:p>
        </w:tc>
        <w:tc>
          <w:tcPr>
            <w:tcW w:type="dxa" w:w="2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实施费</w:t>
            </w:r>
          </w:p>
        </w:tc>
        <w:tc>
          <w:tcPr>
            <w:tcW w:type="dxa" w:w="2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3 年许可费</w:t>
            </w:r>
          </w:p>
        </w:tc>
        <w:tc>
          <w:tcPr>
            <w:tcW w:type="dxa" w:w="2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三年总成本</w:t>
            </w:r>
          </w:p>
        </w:tc>
        <w:tc>
          <w:tcPr>
            <w:tcW w:type="dxa" w:w="2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对比预算上限 260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Atlas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65×3=195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250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低于上限 10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Boreal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45×3=135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最低，但已淘汰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Cedar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52×3=156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209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低于上限 51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取舍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Atlas 更贵（比 Cedar 多 41 万元），但它是唯一同时满足四项硬性要求的方案，且覆盖率 90% 与 99.95% SLA 最优。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Atlas 的两个弱点：迁移复杂度“高”，价格锁定只有 2 年（Cedar 1 年，Boreal 3 年）。这两项必须通过合同条款对冲，而不是通过换供应商解决。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Cedar 便宜但 16 周上线意味着超出现有合同到期（14 周）2 周，且并行期将超过销售团队可接受的 2 周上限；只有在供应商书面承诺 ≤13 周并接受违约金时才具备可选性。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5. 风险与缓解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风险</w:t>
            </w:r>
          </w:p>
        </w:tc>
        <w:tc>
          <w:tcPr>
            <w:tcW w:type="dxa" w:w="351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说明</w:t>
            </w:r>
          </w:p>
        </w:tc>
        <w:tc>
          <w:tcPr>
            <w:tcW w:type="dxa" w:w="351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缓解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上线时间余量仅 2 周</w:t>
            </w:r>
          </w:p>
        </w:tc>
        <w:tc>
          <w:tcPr>
            <w:tcW w:type="dxa" w:w="3513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现合同 14 周到期，Atlas 计划 12 周</w:t>
            </w:r>
          </w:p>
        </w:tc>
        <w:tc>
          <w:tcPr>
            <w:tcW w:type="dxa" w:w="3513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里程碑付款绑定上线；预先协商现合同 1 个月短期延展价格作为兜底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迁移复杂度高</w:t>
            </w:r>
          </w:p>
        </w:tc>
        <w:tc>
          <w:tcPr>
            <w:tcW w:type="dxa" w:w="3513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数据清洗和字段映射可能拖期</w:t>
            </w:r>
          </w:p>
        </w:tc>
        <w:tc>
          <w:tcPr>
            <w:tcW w:type="dxa" w:w="3513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第 1 周内完成数据审计；迁移工作量写入 SOW，由供应商承担超时成本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第 3 年价格上调</w:t>
            </w:r>
          </w:p>
        </w:tc>
        <w:tc>
          <w:tcPr>
            <w:tcW w:type="dxa" w:w="3513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价格锁定仅 2 年</w:t>
            </w:r>
          </w:p>
        </w:tc>
        <w:tc>
          <w:tcPr>
            <w:tcW w:type="dxa" w:w="3513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谈判目标：3 年锁定，或第 3 年涨幅上限（如 ≤3%）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供应商锁定</w:t>
            </w:r>
          </w:p>
        </w:tc>
        <w:tc>
          <w:tcPr>
            <w:tcW w:type="dxa" w:w="3513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数据迁出权</w:t>
            </w:r>
          </w:p>
        </w:tc>
        <w:tc>
          <w:tcPr>
            <w:tcW w:type="dxa" w:w="3513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合同写明随时可导出全量结构化数据且不额外收费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6. 谈判底线（Atlas）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必须：三年总成本 ≤260 万元（当前 250）；上线 ≤13 周并设逾期违约金；实施费按里程碑（如 30/40/30）支付；数据迁出权与格式写入合同。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争取：价格锁定延长至 3 年；并行期内旧系统数据同步支持；SLA 99.95% 写入合同并附服务抵扣。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放弃点：若 Atlas 拒绝上线时限承诺或三年总成本超过 260，则启动 Cedar 条件性谈判（要求其书面压缩至 ≤13 周），否则寻求现合同延展并重新招标。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7. 请决策会确认</w:t>
      </w:r>
    </w:p>
    <w:p>
      <w:pPr>
        <w:ind w:left="510" w:hanging="340"/>
      </w:pPr>
      <w:r>
        <w:rPr>
          <w:rFonts w:ascii="Microsoft YaHei" w:hAnsi="Microsoft YaHei" w:eastAsia="Microsoft YaHei"/>
          <w:sz w:val="18"/>
        </w:rPr>
        <w:t>1. 批准 Atlas 为主方案并授权按上述底线签约。</w:t>
      </w:r>
    </w:p>
    <w:p>
      <w:pPr>
        <w:ind w:left="510" w:hanging="340"/>
      </w:pPr>
      <w:r>
        <w:rPr>
          <w:rFonts w:ascii="Microsoft YaHei" w:hAnsi="Microsoft YaHei" w:eastAsia="Microsoft YaHei"/>
          <w:sz w:val="18"/>
        </w:rPr>
        <w:t>2. 授权同步与现供应商谈判 1 个月延展作为应急。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