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color w:val="1F3864"/>
          <w:sz w:val="30"/>
        </w:rPr>
        <w:t>双向 NDA 拟议条款审阅（非正式法律意见）</w:t>
      </w:r>
    </w:p>
    <w:p>
      <w:r>
        <w:rPr>
          <w:rFonts w:ascii="Microsoft YaHei" w:hAnsi="Microsoft YaHei" w:eastAsia="Microsoft YaHei"/>
          <w:b/>
          <w:sz w:val="21"/>
        </w:rPr>
        <w:t>审阅立场</w:t>
      </w:r>
      <w:r>
        <w:rPr>
          <w:rFonts w:ascii="Microsoft YaHei" w:hAnsi="Microsoft YaHei" w:eastAsia="Microsoft YaHei"/>
          <w:sz w:val="21"/>
        </w:rPr>
        <w:t>：我方既可能是披露方也可能是接收方；目标是形成平衡、可谈判的双向文本。以下仅基于拟议条款文本与题内商业背景，不构成对任何司法辖区法律的判断。</w:t>
      </w:r>
    </w:p>
    <w:p>
      <w:pPr>
        <w:pStyle w:val="Heading2"/>
      </w:pPr>
      <w:r>
        <w:rPr>
          <w:rFonts w:ascii="Microsoft YaHei" w:hAnsi="Microsoft YaHei" w:eastAsia="Microsoft YaHei"/>
          <w:b/>
          <w:color w:val="1F3864"/>
          <w:sz w:val="26"/>
        </w:rPr>
        <w:t>一、问题清单</w:t>
      </w:r>
    </w:p>
    <w:tbl>
      <w:tblPr>
        <w:tblStyle w:val="TableGrid"/>
        <w:tblW w:type="auto" w:w="0"/>
        <w:tblLook w:firstColumn="1" w:firstRow="1" w:lastColumn="0" w:lastRow="0" w:noHBand="0" w:noVBand="1" w:val="04A0"/>
      </w:tblPr>
      <w:tblGrid>
        <w:gridCol w:w="1939"/>
        <w:gridCol w:w="1939"/>
        <w:gridCol w:w="1939"/>
        <w:gridCol w:w="1939"/>
        <w:gridCol w:w="1939"/>
        <w:gridCol w:w="1939"/>
        <w:gridCol w:w="1939"/>
      </w:tblGrid>
      <w:tr>
        <w:tc>
          <w:tcPr>
            <w:tcW w:type="dxa" w:w="1939"/>
            <w:shd w:val="clear" w:color="auto" w:fill="D9E2F3"/>
          </w:tcPr>
          <w:p>
            <w:r/>
            <w:r>
              <w:rPr>
                <w:rFonts w:ascii="Microsoft YaHei" w:hAnsi="Microsoft YaHei" w:eastAsia="Microsoft YaHei"/>
                <w:b/>
                <w:sz w:val="19"/>
              </w:rPr>
              <w:t>#</w:t>
            </w:r>
          </w:p>
        </w:tc>
        <w:tc>
          <w:tcPr>
            <w:tcW w:type="dxa" w:w="1939"/>
            <w:shd w:val="clear" w:color="auto" w:fill="D9E2F3"/>
          </w:tcPr>
          <w:p>
            <w:r/>
            <w:r>
              <w:rPr>
                <w:rFonts w:ascii="Microsoft YaHei" w:hAnsi="Microsoft YaHei" w:eastAsia="Microsoft YaHei"/>
                <w:b/>
                <w:sz w:val="19"/>
              </w:rPr>
              <w:t>条款</w:t>
            </w:r>
          </w:p>
        </w:tc>
        <w:tc>
          <w:tcPr>
            <w:tcW w:type="dxa" w:w="1939"/>
            <w:shd w:val="clear" w:color="auto" w:fill="D9E2F3"/>
          </w:tcPr>
          <w:p>
            <w:r/>
            <w:r>
              <w:rPr>
                <w:rFonts w:ascii="Microsoft YaHei" w:hAnsi="Microsoft YaHei" w:eastAsia="Microsoft YaHei"/>
                <w:b/>
                <w:sz w:val="19"/>
              </w:rPr>
              <w:t>问题</w:t>
            </w:r>
          </w:p>
        </w:tc>
        <w:tc>
          <w:tcPr>
            <w:tcW w:type="dxa" w:w="1939"/>
            <w:shd w:val="clear" w:color="auto" w:fill="D9E2F3"/>
          </w:tcPr>
          <w:p>
            <w:r/>
            <w:r>
              <w:rPr>
                <w:rFonts w:ascii="Microsoft YaHei" w:hAnsi="Microsoft YaHei" w:eastAsia="Microsoft YaHei"/>
                <w:b/>
                <w:sz w:val="19"/>
              </w:rPr>
              <w:t>风险（对我方）</w:t>
            </w:r>
          </w:p>
        </w:tc>
        <w:tc>
          <w:tcPr>
            <w:tcW w:type="dxa" w:w="1939"/>
            <w:shd w:val="clear" w:color="auto" w:fill="D9E2F3"/>
          </w:tcPr>
          <w:p>
            <w:r/>
            <w:r>
              <w:rPr>
                <w:rFonts w:ascii="Microsoft YaHei" w:hAnsi="Microsoft YaHei" w:eastAsia="Microsoft YaHei"/>
                <w:b/>
                <w:sz w:val="19"/>
              </w:rPr>
              <w:t>优先级</w:t>
            </w:r>
          </w:p>
        </w:tc>
        <w:tc>
          <w:tcPr>
            <w:tcW w:type="dxa" w:w="1939"/>
            <w:shd w:val="clear" w:color="auto" w:fill="D9E2F3"/>
          </w:tcPr>
          <w:p>
            <w:r/>
            <w:r>
              <w:rPr>
                <w:rFonts w:ascii="Microsoft YaHei" w:hAnsi="Microsoft YaHei" w:eastAsia="Microsoft YaHei"/>
                <w:b/>
                <w:sz w:val="19"/>
              </w:rPr>
              <w:t>建议立场</w:t>
            </w:r>
          </w:p>
        </w:tc>
        <w:tc>
          <w:tcPr>
            <w:tcW w:type="dxa" w:w="1939"/>
            <w:shd w:val="clear" w:color="auto" w:fill="D9E2F3"/>
          </w:tcPr>
          <w:p>
            <w:r/>
            <w:r>
              <w:rPr>
                <w:rFonts w:ascii="Microsoft YaHei" w:hAnsi="Microsoft YaHei" w:eastAsia="Microsoft YaHei"/>
                <w:b/>
                <w:sz w:val="19"/>
              </w:rPr>
              <w:t>可退让方案</w:t>
            </w:r>
          </w:p>
        </w:tc>
      </w:tr>
      <w:tr>
        <w:tc>
          <w:tcPr>
            <w:tcW w:type="dxa" w:w="1939"/>
          </w:tcPr>
          <w:p>
            <w:r/>
            <w:r>
              <w:rPr>
                <w:rFonts w:ascii="Microsoft YaHei" w:hAnsi="Microsoft YaHei" w:eastAsia="Microsoft YaHei"/>
                <w:sz w:val="19"/>
              </w:rPr>
              <w:t>1</w:t>
            </w:r>
          </w:p>
        </w:tc>
        <w:tc>
          <w:tcPr>
            <w:tcW w:type="dxa" w:w="1939"/>
          </w:tcPr>
          <w:p>
            <w:r/>
            <w:r>
              <w:rPr>
                <w:rFonts w:ascii="Microsoft YaHei" w:hAnsi="Microsoft YaHei" w:eastAsia="Microsoft YaHei"/>
                <w:sz w:val="19"/>
              </w:rPr>
              <w:t>第 1 条 定义</w:t>
            </w:r>
          </w:p>
        </w:tc>
        <w:tc>
          <w:tcPr>
            <w:tcW w:type="dxa" w:w="1939"/>
          </w:tcPr>
          <w:p>
            <w:r/>
            <w:r>
              <w:rPr>
                <w:rFonts w:ascii="Microsoft YaHei" w:hAnsi="Microsoft YaHei" w:eastAsia="Microsoft YaHei"/>
                <w:sz w:val="19"/>
              </w:rPr>
              <w:t>只保护 Customer 向 Vendor 披露的信息；且“无论是否标记”全部纳入</w:t>
            </w:r>
          </w:p>
        </w:tc>
        <w:tc>
          <w:tcPr>
            <w:tcW w:type="dxa" w:w="1939"/>
          </w:tcPr>
          <w:p>
            <w:r/>
            <w:r>
              <w:rPr>
                <w:rFonts w:ascii="Microsoft YaHei" w:hAnsi="Microsoft YaHei" w:eastAsia="Microsoft YaHei"/>
                <w:sz w:val="19"/>
              </w:rPr>
              <w:t>我方作为披露方时的技术架构、价格、客户流程完全不受保护；作为接收方时义务范围无边界</w:t>
            </w:r>
          </w:p>
        </w:tc>
        <w:tc>
          <w:tcPr>
            <w:tcW w:type="dxa" w:w="1939"/>
          </w:tcPr>
          <w:p>
            <w:r/>
            <w:r>
              <w:rPr>
                <w:rFonts w:ascii="Microsoft YaHei" w:hAnsi="Microsoft YaHei" w:eastAsia="Microsoft YaHei"/>
                <w:sz w:val="19"/>
              </w:rPr>
              <w:t>高</w:t>
            </w:r>
          </w:p>
        </w:tc>
        <w:tc>
          <w:tcPr>
            <w:tcW w:type="dxa" w:w="1939"/>
          </w:tcPr>
          <w:p>
            <w:r/>
            <w:r>
              <w:rPr>
                <w:rFonts w:ascii="Microsoft YaHei" w:hAnsi="Microsoft YaHei" w:eastAsia="Microsoft YaHei"/>
                <w:sz w:val="19"/>
              </w:rPr>
              <w:t>改为双向定义；口头/未标记信息需在合理期限内书面确认或以“合理人应知为保密”为标准</w:t>
            </w:r>
          </w:p>
        </w:tc>
        <w:tc>
          <w:tcPr>
            <w:tcW w:type="dxa" w:w="1939"/>
          </w:tcPr>
          <w:p>
            <w:r/>
            <w:r>
              <w:rPr>
                <w:rFonts w:ascii="Microsoft YaHei" w:hAnsi="Microsoft YaHei" w:eastAsia="Microsoft YaHei"/>
                <w:sz w:val="19"/>
              </w:rPr>
              <w:t>接受“合理人应知”标准而不要求书面确认</w:t>
            </w:r>
          </w:p>
        </w:tc>
      </w:tr>
      <w:tr>
        <w:tc>
          <w:tcPr>
            <w:tcW w:type="dxa" w:w="1939"/>
          </w:tcPr>
          <w:p>
            <w:r/>
            <w:r>
              <w:rPr>
                <w:rFonts w:ascii="Microsoft YaHei" w:hAnsi="Microsoft YaHei" w:eastAsia="Microsoft YaHei"/>
                <w:sz w:val="19"/>
              </w:rPr>
              <w:t>2</w:t>
            </w:r>
          </w:p>
        </w:tc>
        <w:tc>
          <w:tcPr>
            <w:tcW w:type="dxa" w:w="1939"/>
          </w:tcPr>
          <w:p>
            <w:r/>
            <w:r>
              <w:rPr>
                <w:rFonts w:ascii="Microsoft YaHei" w:hAnsi="Microsoft YaHei" w:eastAsia="Microsoft YaHei"/>
                <w:sz w:val="19"/>
              </w:rPr>
              <w:t>第 2 条 期限与人员</w:t>
            </w:r>
          </w:p>
        </w:tc>
        <w:tc>
          <w:tcPr>
            <w:tcW w:type="dxa" w:w="1939"/>
          </w:tcPr>
          <w:p>
            <w:r/>
            <w:r>
              <w:rPr>
                <w:rFonts w:ascii="Microsoft YaHei" w:hAnsi="Microsoft YaHei" w:eastAsia="Microsoft YaHei"/>
                <w:sz w:val="19"/>
              </w:rPr>
              <w:t>义务无限期；仅可向雇员披露</w:t>
            </w:r>
          </w:p>
        </w:tc>
        <w:tc>
          <w:tcPr>
            <w:tcW w:type="dxa" w:w="1939"/>
          </w:tcPr>
          <w:p>
            <w:r/>
            <w:r>
              <w:rPr>
                <w:rFonts w:ascii="Microsoft YaHei" w:hAnsi="Microsoft YaHei" w:eastAsia="Microsoft YaHei"/>
                <w:sz w:val="19"/>
              </w:rPr>
              <w:t>无限期义务难以管理；双方都会使用关联公司与专业顾问，按文本即构成违约</w:t>
            </w:r>
          </w:p>
        </w:tc>
        <w:tc>
          <w:tcPr>
            <w:tcW w:type="dxa" w:w="1939"/>
          </w:tcPr>
          <w:p>
            <w:r/>
            <w:r>
              <w:rPr>
                <w:rFonts w:ascii="Microsoft YaHei" w:hAnsi="Microsoft YaHei" w:eastAsia="Microsoft YaHei"/>
                <w:sz w:val="19"/>
              </w:rPr>
              <w:t>高</w:t>
            </w:r>
          </w:p>
        </w:tc>
        <w:tc>
          <w:tcPr>
            <w:tcW w:type="dxa" w:w="1939"/>
          </w:tcPr>
          <w:p>
            <w:r/>
            <w:r>
              <w:rPr>
                <w:rFonts w:ascii="Microsoft YaHei" w:hAnsi="Microsoft YaHei" w:eastAsia="Microsoft YaHei"/>
                <w:sz w:val="19"/>
              </w:rPr>
              <w:t>保密期 3 年（自披露起），商业秘密在仍构成商业秘密期间持续；允许向有需要知悉的关联公司、雇员、专业顾问披露，前提是其受不弱于本协议的义务约束</w:t>
            </w:r>
          </w:p>
        </w:tc>
        <w:tc>
          <w:tcPr>
            <w:tcW w:type="dxa" w:w="1939"/>
          </w:tcPr>
          <w:p>
            <w:r/>
            <w:r>
              <w:rPr>
                <w:rFonts w:ascii="Microsoft YaHei" w:hAnsi="Microsoft YaHei" w:eastAsia="Microsoft YaHei"/>
                <w:sz w:val="19"/>
              </w:rPr>
              <w:t>保密期 5 年；顾问需签署书面保密承诺</w:t>
            </w:r>
          </w:p>
        </w:tc>
      </w:tr>
      <w:tr>
        <w:tc>
          <w:tcPr>
            <w:tcW w:type="dxa" w:w="1939"/>
          </w:tcPr>
          <w:p>
            <w:r/>
            <w:r>
              <w:rPr>
                <w:rFonts w:ascii="Microsoft YaHei" w:hAnsi="Microsoft YaHei" w:eastAsia="Microsoft YaHei"/>
                <w:sz w:val="19"/>
              </w:rPr>
              <w:t>3</w:t>
            </w:r>
          </w:p>
        </w:tc>
        <w:tc>
          <w:tcPr>
            <w:tcW w:type="dxa" w:w="1939"/>
          </w:tcPr>
          <w:p>
            <w:r/>
            <w:r>
              <w:rPr>
                <w:rFonts w:ascii="Microsoft YaHei" w:hAnsi="Microsoft YaHei" w:eastAsia="Microsoft YaHei"/>
                <w:sz w:val="19"/>
              </w:rPr>
              <w:t>第 3 条 残留信息</w:t>
            </w:r>
          </w:p>
        </w:tc>
        <w:tc>
          <w:tcPr>
            <w:tcW w:type="dxa" w:w="1939"/>
          </w:tcPr>
          <w:p>
            <w:r/>
            <w:r>
              <w:rPr>
                <w:rFonts w:ascii="Microsoft YaHei" w:hAnsi="Microsoft YaHei" w:eastAsia="Microsoft YaHei"/>
                <w:sz w:val="19"/>
              </w:rPr>
              <w:t>仅 Customer 享有“无辅助记忆”使用权，且“不受其他义务限制”</w:t>
            </w:r>
          </w:p>
        </w:tc>
        <w:tc>
          <w:tcPr>
            <w:tcW w:type="dxa" w:w="1939"/>
          </w:tcPr>
          <w:p>
            <w:r/>
            <w:r>
              <w:rPr>
                <w:rFonts w:ascii="Microsoft YaHei" w:hAnsi="Microsoft YaHei" w:eastAsia="Microsoft YaHei"/>
                <w:sz w:val="19"/>
              </w:rPr>
              <w:t>我方作为披露方时技术与价格信息可被对方人员“记忆使用”，等同于保密义务被掏空</w:t>
            </w:r>
          </w:p>
        </w:tc>
        <w:tc>
          <w:tcPr>
            <w:tcW w:type="dxa" w:w="1939"/>
          </w:tcPr>
          <w:p>
            <w:r/>
            <w:r>
              <w:rPr>
                <w:rFonts w:ascii="Microsoft YaHei" w:hAnsi="Microsoft YaHei" w:eastAsia="Microsoft YaHei"/>
                <w:sz w:val="19"/>
              </w:rPr>
              <w:t>高</w:t>
            </w:r>
          </w:p>
        </w:tc>
        <w:tc>
          <w:tcPr>
            <w:tcW w:type="dxa" w:w="1939"/>
          </w:tcPr>
          <w:p>
            <w:r/>
            <w:r>
              <w:rPr>
                <w:rFonts w:ascii="Microsoft YaHei" w:hAnsi="Microsoft YaHei" w:eastAsia="Microsoft YaHei"/>
                <w:sz w:val="19"/>
              </w:rPr>
              <w:t>首选删除；若对方坚持，改为双向、不含商业秘密与个人数据、不授予任何 IP 许可、不允许刻意记忆</w:t>
            </w:r>
          </w:p>
        </w:tc>
        <w:tc>
          <w:tcPr>
            <w:tcW w:type="dxa" w:w="1939"/>
          </w:tcPr>
          <w:p>
            <w:r/>
            <w:r>
              <w:rPr>
                <w:rFonts w:ascii="Microsoft YaHei" w:hAnsi="Microsoft YaHei" w:eastAsia="Microsoft YaHei"/>
                <w:sz w:val="19"/>
              </w:rPr>
              <w:t>接受双向且受限的残留条款</w:t>
            </w:r>
          </w:p>
        </w:tc>
      </w:tr>
      <w:tr>
        <w:tc>
          <w:tcPr>
            <w:tcW w:type="dxa" w:w="1939"/>
          </w:tcPr>
          <w:p>
            <w:r/>
            <w:r>
              <w:rPr>
                <w:rFonts w:ascii="Microsoft YaHei" w:hAnsi="Microsoft YaHei" w:eastAsia="Microsoft YaHei"/>
                <w:sz w:val="19"/>
              </w:rPr>
              <w:t>4</w:t>
            </w:r>
          </w:p>
        </w:tc>
        <w:tc>
          <w:tcPr>
            <w:tcW w:type="dxa" w:w="1939"/>
          </w:tcPr>
          <w:p>
            <w:r/>
            <w:r>
              <w:rPr>
                <w:rFonts w:ascii="Microsoft YaHei" w:hAnsi="Microsoft YaHei" w:eastAsia="Microsoft YaHei"/>
                <w:sz w:val="19"/>
              </w:rPr>
              <w:t>第 4 条 救济</w:t>
            </w:r>
          </w:p>
        </w:tc>
        <w:tc>
          <w:tcPr>
            <w:tcW w:type="dxa" w:w="1939"/>
          </w:tcPr>
          <w:p>
            <w:r/>
            <w:r>
              <w:rPr>
                <w:rFonts w:ascii="Microsoft YaHei" w:hAnsi="Microsoft YaHei" w:eastAsia="Microsoft YaHei"/>
                <w:sz w:val="19"/>
              </w:rPr>
              <w:t>单向、自动获得禁令救济且无需证明损害</w:t>
            </w:r>
          </w:p>
        </w:tc>
        <w:tc>
          <w:tcPr>
            <w:tcW w:type="dxa" w:w="1939"/>
          </w:tcPr>
          <w:p>
            <w:r/>
            <w:r>
              <w:rPr>
                <w:rFonts w:ascii="Microsoft YaHei" w:hAnsi="Microsoft YaHei" w:eastAsia="Microsoft YaHei"/>
                <w:sz w:val="19"/>
              </w:rPr>
              <w:t>我方作为接收方时面临无门槛禁令；作为披露方时没有对等救济</w:t>
            </w:r>
          </w:p>
        </w:tc>
        <w:tc>
          <w:tcPr>
            <w:tcW w:type="dxa" w:w="1939"/>
          </w:tcPr>
          <w:p>
            <w:r/>
            <w:r>
              <w:rPr>
                <w:rFonts w:ascii="Microsoft YaHei" w:hAnsi="Microsoft YaHei" w:eastAsia="Microsoft YaHei"/>
                <w:sz w:val="19"/>
              </w:rPr>
              <w:t>中</w:t>
            </w:r>
          </w:p>
        </w:tc>
        <w:tc>
          <w:tcPr>
            <w:tcW w:type="dxa" w:w="1939"/>
          </w:tcPr>
          <w:p>
            <w:r/>
            <w:r>
              <w:rPr>
                <w:rFonts w:ascii="Microsoft YaHei" w:hAnsi="Microsoft YaHei" w:eastAsia="Microsoft YaHei"/>
                <w:sz w:val="19"/>
              </w:rPr>
              <w:t>双向：任一方可就违约寻求禁令等衡平救济，由裁判机构依法判断；删除“自动”与“无需证明”</w:t>
            </w:r>
          </w:p>
        </w:tc>
        <w:tc>
          <w:tcPr>
            <w:tcW w:type="dxa" w:w="1939"/>
          </w:tcPr>
          <w:p>
            <w:r/>
            <w:r>
              <w:rPr>
                <w:rFonts w:ascii="Microsoft YaHei" w:hAnsi="Microsoft YaHei" w:eastAsia="Microsoft YaHei"/>
                <w:sz w:val="19"/>
              </w:rPr>
              <w:t>保留“承认可能造成难以弥补的损害”的陈述，但救济仍由裁判机构决定</w:t>
            </w:r>
          </w:p>
        </w:tc>
      </w:tr>
      <w:tr>
        <w:tc>
          <w:tcPr>
            <w:tcW w:type="dxa" w:w="1939"/>
          </w:tcPr>
          <w:p>
            <w:r/>
            <w:r>
              <w:rPr>
                <w:rFonts w:ascii="Microsoft YaHei" w:hAnsi="Microsoft YaHei" w:eastAsia="Microsoft YaHei"/>
                <w:sz w:val="19"/>
              </w:rPr>
              <w:t>5</w:t>
            </w:r>
          </w:p>
        </w:tc>
        <w:tc>
          <w:tcPr>
            <w:tcW w:type="dxa" w:w="1939"/>
          </w:tcPr>
          <w:p>
            <w:r/>
            <w:r>
              <w:rPr>
                <w:rFonts w:ascii="Microsoft YaHei" w:hAnsi="Microsoft YaHei" w:eastAsia="Microsoft YaHei"/>
                <w:sz w:val="19"/>
              </w:rPr>
              <w:t>第 5 条 法律与争议</w:t>
            </w:r>
          </w:p>
        </w:tc>
        <w:tc>
          <w:tcPr>
            <w:tcW w:type="dxa" w:w="1939"/>
          </w:tcPr>
          <w:p>
            <w:r/>
            <w:r>
              <w:rPr>
                <w:rFonts w:ascii="Microsoft YaHei" w:hAnsi="Microsoft YaHei" w:eastAsia="Microsoft YaHei"/>
                <w:sz w:val="19"/>
              </w:rPr>
              <w:t>State A 法律 + Customer 所在地法院专属管辖</w:t>
            </w:r>
          </w:p>
        </w:tc>
        <w:tc>
          <w:tcPr>
            <w:tcW w:type="dxa" w:w="1939"/>
          </w:tcPr>
          <w:p>
            <w:r/>
            <w:r>
              <w:rPr>
                <w:rFonts w:ascii="Microsoft YaHei" w:hAnsi="Microsoft YaHei" w:eastAsia="Microsoft YaHei"/>
                <w:sz w:val="19"/>
              </w:rPr>
              <w:t>我方需在对方主场诉讼，成本与不确定性高</w:t>
            </w:r>
          </w:p>
        </w:tc>
        <w:tc>
          <w:tcPr>
            <w:tcW w:type="dxa" w:w="1939"/>
          </w:tcPr>
          <w:p>
            <w:r/>
            <w:r>
              <w:rPr>
                <w:rFonts w:ascii="Microsoft YaHei" w:hAnsi="Microsoft YaHei" w:eastAsia="Microsoft YaHei"/>
                <w:sz w:val="19"/>
              </w:rPr>
              <w:t>中</w:t>
            </w:r>
          </w:p>
        </w:tc>
        <w:tc>
          <w:tcPr>
            <w:tcW w:type="dxa" w:w="1939"/>
          </w:tcPr>
          <w:p>
            <w:r/>
            <w:r>
              <w:rPr>
                <w:rFonts w:ascii="Microsoft YaHei" w:hAnsi="Microsoft YaHei" w:eastAsia="Microsoft YaHei"/>
                <w:sz w:val="19"/>
              </w:rPr>
              <w:t>中立地仲裁（题内首选）；法律选择与仲裁地一致且为中立地</w:t>
            </w:r>
          </w:p>
        </w:tc>
        <w:tc>
          <w:tcPr>
            <w:tcW w:type="dxa" w:w="1939"/>
          </w:tcPr>
          <w:p>
            <w:r/>
            <w:r>
              <w:rPr>
                <w:rFonts w:ascii="Microsoft YaHei" w:hAnsi="Microsoft YaHei" w:eastAsia="Microsoft YaHei"/>
                <w:sz w:val="19"/>
              </w:rPr>
              <w:t>接受 State A 法律，但争议解决改为中立地仲裁</w:t>
            </w:r>
          </w:p>
        </w:tc>
      </w:tr>
      <w:tr>
        <w:tc>
          <w:tcPr>
            <w:tcW w:type="dxa" w:w="1939"/>
          </w:tcPr>
          <w:p>
            <w:r/>
            <w:r>
              <w:rPr>
                <w:rFonts w:ascii="Microsoft YaHei" w:hAnsi="Microsoft YaHei" w:eastAsia="Microsoft YaHei"/>
                <w:sz w:val="19"/>
              </w:rPr>
              <w:t>6</w:t>
            </w:r>
          </w:p>
        </w:tc>
        <w:tc>
          <w:tcPr>
            <w:tcW w:type="dxa" w:w="1939"/>
          </w:tcPr>
          <w:p>
            <w:r/>
            <w:r>
              <w:rPr>
                <w:rFonts w:ascii="Microsoft YaHei" w:hAnsi="Microsoft YaHei" w:eastAsia="Microsoft YaHei"/>
                <w:sz w:val="19"/>
              </w:rPr>
              <w:t>第 6 条 排除</w:t>
            </w:r>
          </w:p>
        </w:tc>
        <w:tc>
          <w:tcPr>
            <w:tcW w:type="dxa" w:w="1939"/>
          </w:tcPr>
          <w:p>
            <w:r/>
            <w:r>
              <w:rPr>
                <w:rFonts w:ascii="Microsoft YaHei" w:hAnsi="Microsoft YaHei" w:eastAsia="Microsoft YaHei"/>
                <w:sz w:val="19"/>
              </w:rPr>
              <w:t>不排除已知、独立开发、第三方合法获得、公开信息</w:t>
            </w:r>
          </w:p>
        </w:tc>
        <w:tc>
          <w:tcPr>
            <w:tcW w:type="dxa" w:w="1939"/>
          </w:tcPr>
          <w:p>
            <w:r/>
            <w:r>
              <w:rPr>
                <w:rFonts w:ascii="Microsoft YaHei" w:hAnsi="Microsoft YaHei" w:eastAsia="Microsoft YaHei"/>
                <w:sz w:val="19"/>
              </w:rPr>
              <w:t>我方正常业务与并行研发被冻结，可能被追究本不应保密的信息</w:t>
            </w:r>
          </w:p>
        </w:tc>
        <w:tc>
          <w:tcPr>
            <w:tcW w:type="dxa" w:w="1939"/>
          </w:tcPr>
          <w:p>
            <w:r/>
            <w:r>
              <w:rPr>
                <w:rFonts w:ascii="Microsoft YaHei" w:hAnsi="Microsoft YaHei" w:eastAsia="Microsoft YaHei"/>
                <w:sz w:val="19"/>
              </w:rPr>
              <w:t>高</w:t>
            </w:r>
          </w:p>
        </w:tc>
        <w:tc>
          <w:tcPr>
            <w:tcW w:type="dxa" w:w="1939"/>
          </w:tcPr>
          <w:p>
            <w:r/>
            <w:r>
              <w:rPr>
                <w:rFonts w:ascii="Microsoft YaHei" w:hAnsi="Microsoft YaHei" w:eastAsia="Microsoft YaHei"/>
                <w:sz w:val="19"/>
              </w:rPr>
              <w:t>加入四项标准排除，并加入“依法律或法院要求披露”的例外（需事先通知并配合限制）</w:t>
            </w:r>
          </w:p>
        </w:tc>
        <w:tc>
          <w:tcPr>
            <w:tcW w:type="dxa" w:w="1939"/>
          </w:tcPr>
          <w:p>
            <w:r/>
            <w:r>
              <w:rPr>
                <w:rFonts w:ascii="Microsoft YaHei" w:hAnsi="Microsoft YaHei" w:eastAsia="Microsoft YaHei"/>
                <w:sz w:val="19"/>
              </w:rPr>
              <w:t>对独立开发要求书面记录佐证</w:t>
            </w:r>
          </w:p>
        </w:tc>
      </w:tr>
      <w:tr>
        <w:tc>
          <w:tcPr>
            <w:tcW w:type="dxa" w:w="1939"/>
          </w:tcPr>
          <w:p>
            <w:r/>
            <w:r>
              <w:rPr>
                <w:rFonts w:ascii="Microsoft YaHei" w:hAnsi="Microsoft YaHei" w:eastAsia="Microsoft YaHei"/>
                <w:sz w:val="19"/>
              </w:rPr>
              <w:t>7</w:t>
            </w:r>
          </w:p>
        </w:tc>
        <w:tc>
          <w:tcPr>
            <w:tcW w:type="dxa" w:w="1939"/>
          </w:tcPr>
          <w:p>
            <w:r/>
            <w:r>
              <w:rPr>
                <w:rFonts w:ascii="Microsoft YaHei" w:hAnsi="Microsoft YaHei" w:eastAsia="Microsoft YaHei"/>
                <w:sz w:val="19"/>
              </w:rPr>
              <w:t>缺失条款</w:t>
            </w:r>
          </w:p>
        </w:tc>
        <w:tc>
          <w:tcPr>
            <w:tcW w:type="dxa" w:w="1939"/>
          </w:tcPr>
          <w:p>
            <w:r/>
            <w:r>
              <w:rPr>
                <w:rFonts w:ascii="Microsoft YaHei" w:hAnsi="Microsoft YaHei" w:eastAsia="Microsoft YaHei"/>
                <w:sz w:val="19"/>
              </w:rPr>
              <w:t>无返还/销毁、无“不授予许可”、无协议期限、无使用目的限制</w:t>
            </w:r>
          </w:p>
        </w:tc>
        <w:tc>
          <w:tcPr>
            <w:tcW w:type="dxa" w:w="1939"/>
          </w:tcPr>
          <w:p>
            <w:r/>
            <w:r>
              <w:rPr>
                <w:rFonts w:ascii="Microsoft YaHei" w:hAnsi="Microsoft YaHei" w:eastAsia="Microsoft YaHei"/>
                <w:sz w:val="19"/>
              </w:rPr>
              <w:t>双方对信息用途与结束方式无约定</w:t>
            </w:r>
          </w:p>
        </w:tc>
        <w:tc>
          <w:tcPr>
            <w:tcW w:type="dxa" w:w="1939"/>
          </w:tcPr>
          <w:p>
            <w:r/>
            <w:r>
              <w:rPr>
                <w:rFonts w:ascii="Microsoft YaHei" w:hAnsi="Microsoft YaHei" w:eastAsia="Microsoft YaHei"/>
                <w:sz w:val="19"/>
              </w:rPr>
              <w:t>中</w:t>
            </w:r>
          </w:p>
        </w:tc>
        <w:tc>
          <w:tcPr>
            <w:tcW w:type="dxa" w:w="1939"/>
          </w:tcPr>
          <w:p>
            <w:r/>
            <w:r>
              <w:rPr>
                <w:rFonts w:ascii="Microsoft YaHei" w:hAnsi="Microsoft YaHei" w:eastAsia="Microsoft YaHei"/>
                <w:sz w:val="19"/>
              </w:rPr>
              <w:t>加入：目的限于产品集成评估；协议期 2 年；终止后返还或销毁（例行备份除外）；不授予任何 IP 许可</w:t>
            </w:r>
          </w:p>
        </w:tc>
        <w:tc>
          <w:tcPr>
            <w:tcW w:type="dxa" w:w="1939"/>
          </w:tcPr>
          <w:p>
            <w:r/>
            <w:r>
              <w:rPr>
                <w:rFonts w:ascii="Microsoft YaHei" w:hAnsi="Microsoft YaHei" w:eastAsia="Microsoft YaHei"/>
                <w:sz w:val="19"/>
              </w:rPr>
              <w:t>备份保留期限可协商</w:t>
            </w:r>
          </w:p>
        </w:tc>
      </w:tr>
    </w:tbl>
    <w:p/>
    <w:p>
      <w:pPr>
        <w:pStyle w:val="Heading2"/>
      </w:pPr>
      <w:r>
        <w:rPr>
          <w:rFonts w:ascii="Microsoft YaHei" w:hAnsi="Microsoft YaHei" w:eastAsia="Microsoft YaHei"/>
          <w:b/>
          <w:color w:val="1F3864"/>
          <w:sz w:val="26"/>
        </w:rPr>
        <w:t>二、建议英文修订条款（相互一致的双向文本）</w:t>
      </w:r>
    </w:p>
    <w:p>
      <w:r>
        <w:rPr>
          <w:rFonts w:ascii="Microsoft YaHei" w:hAnsi="Microsoft YaHei" w:eastAsia="Microsoft YaHei"/>
          <w:b/>
          <w:sz w:val="21"/>
        </w:rPr>
        <w:t>1. Definition.</w:t>
      </w:r>
      <w:r>
        <w:rPr>
          <w:rFonts w:ascii="Microsoft YaHei" w:hAnsi="Microsoft YaHei" w:eastAsia="Microsoft YaHei"/>
          <w:sz w:val="21"/>
        </w:rPr>
        <w:t xml:space="preserve"> "Confidential Information" means any non-public information disclosed by either party ("Discloser") to the other party ("Recipient") in connection with the Purpose that is (a) marked or identified as confidential at the time of disclosure, or (b) disclosed orally or visually and identified as confidential at the time of disclosure, or (c) of a nature that a reasonable person would understand to be confidential, including technical architecture, pricing and customer processes. "Purpose" means the evaluation of a potential product integration between the parties.</w:t>
      </w:r>
    </w:p>
    <w:p>
      <w:r>
        <w:rPr>
          <w:rFonts w:ascii="Microsoft YaHei" w:hAnsi="Microsoft YaHei" w:eastAsia="Microsoft YaHei"/>
          <w:b/>
          <w:sz w:val="21"/>
        </w:rPr>
        <w:t>2. Obligations; Permitted Recipients.</w:t>
      </w:r>
      <w:r>
        <w:rPr>
          <w:rFonts w:ascii="Microsoft YaHei" w:hAnsi="Microsoft YaHei" w:eastAsia="Microsoft YaHei"/>
          <w:sz w:val="21"/>
        </w:rPr>
        <w:t xml:space="preserve"> Recipient shall (a) use Confidential Information solely for the Purpose; (b) protect it with at least the degree of care it uses for its own confidential information of similar nature and no less than reasonable care; and (c) disclose it only to its and its Affiliates' employees, officers, and professional advisers who need to know it for the Purpose and who are bound by confidentiality obligations no less protective than this Agreement. Recipient is responsible for any breach by such persons.</w:t>
      </w:r>
    </w:p>
    <w:p>
      <w:r>
        <w:rPr>
          <w:rFonts w:ascii="Microsoft YaHei" w:hAnsi="Microsoft YaHei" w:eastAsia="Microsoft YaHei"/>
          <w:b/>
          <w:sz w:val="21"/>
        </w:rPr>
        <w:t>3. Term of Confidentiality.</w:t>
      </w:r>
      <w:r>
        <w:rPr>
          <w:rFonts w:ascii="Microsoft YaHei" w:hAnsi="Microsoft YaHei" w:eastAsia="Microsoft YaHei"/>
          <w:sz w:val="21"/>
        </w:rPr>
        <w:t xml:space="preserve"> The obligations in Section 2 continue for three (3) years from the date of each disclosure; provided that, for any Confidential Information that constitutes a trade secret under applicable law, the obligations continue for so long as such information remains a trade secret.</w:t>
      </w:r>
    </w:p>
    <w:p>
      <w:r>
        <w:rPr>
          <w:rFonts w:ascii="Microsoft YaHei" w:hAnsi="Microsoft YaHei" w:eastAsia="Microsoft YaHei"/>
          <w:b/>
          <w:sz w:val="21"/>
        </w:rPr>
        <w:t>4. Exclusions.</w:t>
      </w:r>
      <w:r>
        <w:rPr>
          <w:rFonts w:ascii="Microsoft YaHei" w:hAnsi="Microsoft YaHei" w:eastAsia="Microsoft YaHei"/>
          <w:sz w:val="21"/>
        </w:rPr>
        <w:t xml:space="preserve"> Confidential Information does not include information that Recipient can demonstrate by written records (a) was known to Recipient without restriction before receipt from Discloser; (b) is or becomes publicly available through no breach by Recipient; (c) is rightfully received from a third party without a duty of confidentiality; or (d) is independently developed by Recipient without use of or reference to Discloser's Confidential Information. Recipient may disclose Confidential Information to the extent required by law or court order, provided that Recipient (where legally permitted) gives Discloser prompt prior notice and reasonable cooperation to seek protective treatment, and discloses only the portion legally required.</w:t>
      </w:r>
    </w:p>
    <w:p>
      <w:r>
        <w:rPr>
          <w:rFonts w:ascii="Microsoft YaHei" w:hAnsi="Microsoft YaHei" w:eastAsia="Microsoft YaHei"/>
          <w:b/>
          <w:sz w:val="21"/>
        </w:rPr>
        <w:t>5. Residual Knowledge.</w:t>
      </w:r>
      <w:r>
        <w:rPr>
          <w:rFonts w:ascii="Microsoft YaHei" w:hAnsi="Microsoft YaHei" w:eastAsia="Microsoft YaHei"/>
          <w:sz w:val="21"/>
        </w:rPr>
        <w:t xml:space="preserve"> [Preferred position: delete.] [Fallback:] Either party may use Residual Knowledge, meaning general skills, ideas and know-how retained in the unaided memory of its personnel who had authorized access to the other party's Confidential Information, provided that this Section does not (a) apply to trade secrets or personal data, (b) permit intentional memorization for the purpose of retaining and later using such information, or (c) grant any license under the other party's patents, copyrights or other intellectual property rights.</w:t>
      </w:r>
    </w:p>
    <w:p>
      <w:r>
        <w:rPr>
          <w:rFonts w:ascii="Microsoft YaHei" w:hAnsi="Microsoft YaHei" w:eastAsia="Microsoft YaHei"/>
          <w:b/>
          <w:sz w:val="21"/>
        </w:rPr>
        <w:t>6. Remedies.</w:t>
      </w:r>
      <w:r>
        <w:rPr>
          <w:rFonts w:ascii="Microsoft YaHei" w:hAnsi="Microsoft YaHei" w:eastAsia="Microsoft YaHei"/>
          <w:sz w:val="21"/>
        </w:rPr>
        <w:t xml:space="preserve"> Each party acknowledges that a breach of this Agreement may cause the other party harm for which monetary damages may be an inadequate remedy. Accordingly, either party may seek injunctive or other equitable relief from a competent tribunal in respect of any actual or threatened breach, in addition to any other remedies available, and each party agrees not to oppose such relief solely on the ground that damages would be an adequate remedy.</w:t>
      </w:r>
    </w:p>
    <w:p>
      <w:r>
        <w:rPr>
          <w:rFonts w:ascii="Microsoft YaHei" w:hAnsi="Microsoft YaHei" w:eastAsia="Microsoft YaHei"/>
          <w:b/>
          <w:sz w:val="21"/>
        </w:rPr>
        <w:t>7. Governing Law and Dispute Resolution.</w:t>
      </w:r>
      <w:r>
        <w:rPr>
          <w:rFonts w:ascii="Microsoft YaHei" w:hAnsi="Microsoft YaHei" w:eastAsia="Microsoft YaHei"/>
          <w:sz w:val="21"/>
        </w:rPr>
        <w:t xml:space="preserve"> This Agreement is governed by the laws of [neutral jurisdiction to be agreed]. Any dispute arising out of or in connection with this Agreement shall be finally resolved by binding arbitration administered by [neutral arbitral institution] in [neutral seat], in the English language, before a single arbitrator. Either party may seek interim or injunctive relief from a court of competent jurisdiction in aid of arbitration.</w:t>
      </w:r>
    </w:p>
    <w:p>
      <w:r>
        <w:rPr>
          <w:rFonts w:ascii="Microsoft YaHei" w:hAnsi="Microsoft YaHei" w:eastAsia="Microsoft YaHei"/>
          <w:b/>
          <w:sz w:val="21"/>
        </w:rPr>
        <w:t>8. No License; Return or Destruction; Term.</w:t>
      </w:r>
      <w:r>
        <w:rPr>
          <w:rFonts w:ascii="Microsoft YaHei" w:hAnsi="Microsoft YaHei" w:eastAsia="Microsoft YaHei"/>
          <w:sz w:val="21"/>
        </w:rPr>
        <w:t xml:space="preserve"> Nothing in this Agreement grants either party any license or other right in the other party's Confidential Information or intellectual property. Upon Discloser's written request or termination of this Agreement, Recipient shall return or destroy all Confidential Information and certify the same in writing, except for copies retained in routine backup systems or as required by law, which remain subject to this Agreement. This Agreement expires two (2) years after the Effective Date unless earlier terminated by either party on thirty (30) days' written notice; the confidentiality obligations survive in accordance with Section 3.</w:t>
      </w:r>
    </w:p>
    <w:p>
      <w:pPr>
        <w:pStyle w:val="Heading2"/>
      </w:pPr>
      <w:r>
        <w:rPr>
          <w:rFonts w:ascii="Microsoft YaHei" w:hAnsi="Microsoft YaHei" w:eastAsia="Microsoft YaHei"/>
          <w:b/>
          <w:color w:val="1F3864"/>
          <w:sz w:val="26"/>
        </w:rPr>
        <w:t>三、谈判顺序建议</w:t>
      </w:r>
    </w:p>
    <w:p>
      <w:pPr>
        <w:ind w:left="510" w:hanging="340"/>
      </w:pPr>
      <w:r>
        <w:rPr>
          <w:rFonts w:ascii="Microsoft YaHei" w:hAnsi="Microsoft YaHei" w:eastAsia="Microsoft YaHei"/>
          <w:sz w:val="21"/>
        </w:rPr>
        <w:t>1. 先解决第 1、2、6 条（定义、期限/人员、排除）——它们决定协议是否“可履行”。</w:t>
      </w:r>
    </w:p>
    <w:p>
      <w:pPr>
        <w:ind w:left="510" w:hanging="340"/>
      </w:pPr>
      <w:r>
        <w:rPr>
          <w:rFonts w:ascii="Microsoft YaHei" w:hAnsi="Microsoft YaHei" w:eastAsia="Microsoft YaHei"/>
          <w:sz w:val="21"/>
        </w:rPr>
        <w:t>2. 再谈第 3 条残留信息（首选删除）与第 4 条救济。</w:t>
      </w:r>
    </w:p>
    <w:p>
      <w:pPr>
        <w:ind w:left="510" w:hanging="340"/>
      </w:pPr>
      <w:r>
        <w:rPr>
          <w:rFonts w:ascii="Microsoft YaHei" w:hAnsi="Microsoft YaHei" w:eastAsia="Microsoft YaHei"/>
          <w:sz w:val="21"/>
        </w:rPr>
        <w:t>3. 最后谈法律与争议解决；若对方坚持 State A 法律，用中立仲裁地换取。</w:t>
      </w:r>
    </w:p>
    <w:sectPr w:rsidR="00FC693F" w:rsidRPr="0006063C" w:rsidSect="00034616">
      <w:pgSz w:w="15840" w:h="12240" w:orient="landscape"/>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