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客服 AI 供应商竞争格局与 POC 短名单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结论</w:t>
      </w:r>
    </w:p>
    <w:p>
      <w:r>
        <w:rPr>
          <w:rFonts w:ascii="Microsoft YaHei" w:hAnsi="Microsoft YaHei" w:eastAsia="Microsoft YaHei"/>
          <w:sz w:val="21"/>
        </w:rPr>
        <w:t>进入 POC 的两家：</w:t>
      </w:r>
      <w:r>
        <w:rPr>
          <w:rFonts w:ascii="Microsoft YaHei" w:hAnsi="Microsoft YaHei" w:eastAsia="Microsoft YaHei"/>
          <w:b/>
          <w:sz w:val="21"/>
        </w:rPr>
        <w:t>Argo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Microsoft YaHei" w:hAnsi="Microsoft YaHei" w:eastAsia="Microsoft YaHei"/>
          <w:b/>
          <w:sz w:val="21"/>
        </w:rPr>
        <w:t>Cobalt</w:t>
      </w:r>
      <w:r>
        <w:rPr>
          <w:rFonts w:ascii="Microsoft YaHei" w:hAnsi="Microsoft YaHei" w:eastAsia="Microsoft YaHei"/>
          <w:sz w:val="21"/>
        </w:rPr>
        <w:t>。它们是唯一同时满足三项硬性条件（支持中文、可私有云部署、年总成本 ≤120 万元）的供应商；两者在信息风险上各有缺口，需在 POC 中以我方 1,000 条双语工单重测准确率并补齐安全证据。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硬性条件筛选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供应商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支持中文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可私有云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年成本 ≤120 万元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Argo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是（SaaS/私有云）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118 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Birch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否（仅 SaaS）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82 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淘汰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Cobalt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110 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否（路线图 2027 Q2）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95 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淘汰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比较矩阵（通过者 + 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Argo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Cobalt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年成本（万元）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Cobalt 低 8 万元；均在预算内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已知准确率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87%（自测，500 条）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84%（第三方，2,000 条）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口径不同不可直接比较；Cobalt 证据质量更高，Argo 数值更高但为自测小样本 → 均需在我方 1,000 条双语工单重测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集成周期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 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POC 目标 12 周，可为安全延长 2 周至 14 周；Cobalt 恰在延长后的上限，无余量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SOC 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未披露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Cobalt 的“未披露”不等于没有，列为需验证；若确无认证，按信息安全意见以渗透测试 + 架构评审 + 合同控制补充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部署特性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SaaS/私有云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私有云，可离线运行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Cobalt 离线能力对数据隔离有利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客户参考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家同业客户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未披露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Cobalt 需提供参考客户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信息风险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低—中（准确率自测）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中（认证与参考未披露）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两者均非“最差”，均为待验证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为什么不是按功能数排序</w:t>
      </w:r>
    </w:p>
    <w:p>
      <w:r>
        <w:rPr>
          <w:rFonts w:ascii="Microsoft YaHei" w:hAnsi="Microsoft YaHei" w:eastAsia="Microsoft YaHei"/>
          <w:sz w:val="21"/>
        </w:rPr>
        <w:t>Birch 准确率数值最高（90%）且最便宜，但不支持私有云；Delta 第三方准确率 92% 但为英文集且中文未上线。按“数字最好看”排序会选出两家不合格供应商。Argo 与 Cobalt 的入选逻辑是先过硬门槛，再在能力与信息风险之间取平衡：Argo 安全证据透明但准确率为自测小样本，Cobalt 准确率证据质量高但安全信息缺口大，二者互补，适合并行 POC。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POC 验证问题</w:t>
      </w:r>
    </w:p>
    <w:p>
      <w:r>
        <w:rPr>
          <w:rFonts w:ascii="Microsoft YaHei" w:hAnsi="Microsoft YaHei" w:eastAsia="Microsoft YaHei"/>
          <w:b/>
          <w:sz w:val="21"/>
        </w:rPr>
        <w:t>对两家共同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在我方 1,000 条双语工单上的准确率（按意图识别与答案正确率分别统计），及中文/英文分项。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私有云部署的最低资源需求与我方环境的兼容性。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数据是否离开我方环境（含模型训练与日志）。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年成本 118/110 万元的包含范围：是否含实施、培训、模型更新与超量费用。</w:t>
      </w:r>
    </w:p>
    <w:p>
      <w:r>
        <w:rPr>
          <w:rFonts w:ascii="Microsoft YaHei" w:hAnsi="Microsoft YaHei" w:eastAsia="Microsoft YaHei"/>
          <w:b/>
          <w:sz w:val="21"/>
        </w:rPr>
        <w:t>Argo 专属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5. 自测 87% 的测试集构成与评估方法；能否提供第三方或客户侧验证。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6. 3 家同业客户的可参考联系人与使用规模。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7. SOC 2 报告类型（Type I/II）、有效期与范围。</w:t>
      </w:r>
    </w:p>
    <w:p>
      <w:r>
        <w:rPr>
          <w:rFonts w:ascii="Microsoft YaHei" w:hAnsi="Microsoft YaHei" w:eastAsia="Microsoft YaHei"/>
          <w:b/>
          <w:sz w:val="21"/>
        </w:rPr>
        <w:t>Cobalt 专属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8. 是否持有任何安全认证？若无，是否接受我方渗透测试与架构评审，以及合同中的安全控制条款。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9. 14 周集成周期能否压缩至 12 周？若不能，关键路径在哪里？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10. 参考客户与第三方 2,000 条测试的语言构成。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时间与安全安排</w:t>
      </w:r>
    </w:p>
    <w:p>
      <w:r>
        <w:rPr>
          <w:rFonts w:ascii="Microsoft YaHei" w:hAnsi="Microsoft YaHei" w:eastAsia="Microsoft YaHei"/>
          <w:sz w:val="21"/>
        </w:rPr>
        <w:t>POC 目标 12 周；若 Cobalt 需 14 周，动用信息安全批准的 2 周延长，并在第 2 周前确认其认证与渗透测试安排。双供应商并行；若一方在第 4 周准确率重测低于门槛（门槛待业务确定），提前终止。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