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Aurora Storage Q2 业绩更新（投委会材料）</w:t>
      </w:r>
    </w:p>
    <w:p>
      <w:r>
        <w:rPr>
          <w:rFonts w:ascii="Microsoft YaHei" w:hAnsi="Microsoft YaHei" w:eastAsia="Microsoft YaHei"/>
          <w:b/>
          <w:sz w:val="21"/>
        </w:rPr>
        <w:t>评级：持有（偏负面）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目标价：285 美元（测算）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当前股价：310 美元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隐含回报：−8.1%（测算）</w:t>
      </w:r>
      <w:r>
        <w:rPr>
          <w:rFonts w:ascii="Microsoft YaHei" w:hAnsi="Microsoft YaHei" w:eastAsia="Microsoft YaHei"/>
          <w:sz w:val="21"/>
        </w:rPr>
        <w:t xml:space="preserve"> 单位：十亿美元；每股为美元。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结果：表面小幅超预期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实际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一致预期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差异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收入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18.6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18.2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+2.2%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毛利率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62.0%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61.0%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+1.0pp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营业利润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8.0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7.6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+5.3%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GAAP 净利润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9.4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7.3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+28.8%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税前处置收益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一次性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分部：DRAM 收入 11.2（占 60.2%，测算），bits 环比 +6%、ASP 环比 +18%；NAND 收入 7.4（占 39.8%），bits +12%、ASP +8%。两分部合计 18.6，与总收入一致。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盈利质量：剔除一次性收益后仅与预期持平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税前处置收益 2.5，按 20% 税率调整后税后收益 2.0（测算）。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归一化净利润 = 9.4 − 2.0 = </w:t>
      </w:r>
      <w:r>
        <w:rPr>
          <w:rFonts w:ascii="Microsoft YaHei" w:hAnsi="Microsoft YaHei" w:eastAsia="Microsoft YaHei"/>
          <w:b/>
          <w:sz w:val="21"/>
        </w:rPr>
        <w:t>7.4（测算）</w:t>
      </w:r>
      <w:r>
        <w:rPr>
          <w:rFonts w:ascii="Microsoft YaHei" w:hAnsi="Microsoft YaHei" w:eastAsia="Microsoft YaHei"/>
          <w:sz w:val="21"/>
        </w:rPr>
        <w:t>，较一致预期 7.3 高 1.4%；归一化 EPS 7.40 vs GAAP EPS 9.40（摊薄股数 1.0）。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结论：GAAP 层面 +28.8% 的“大幅超预期”几乎全部来自一次性收益；经营层面的超预期幅度为营业利润 +5.3%、归一化净利润 +1.4%。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量价结构：DRAM 收入增长主要由 ASP +18% 驱动，bits 仅 +6%；管理层将 DRAM 量弱归因于客户验收延后，该解释目前无独立验证。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指引：收入中值略高于预期，但 ASP 预期显著低于买方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Q3 收入指引 19.0–20.0，中值 19.5 vs 一致预期 19.3（+1.0%）；区间低端 19.0 低于预期 1.6%。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毛利率指引 61%–63%，中值 62% 与 Q2 持平。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关键分歧</w:t>
      </w:r>
      <w:r>
        <w:rPr>
          <w:rFonts w:ascii="Microsoft YaHei" w:hAnsi="Microsoft YaHei" w:eastAsia="Microsoft YaHei"/>
          <w:sz w:val="21"/>
        </w:rPr>
        <w:t>：买方此前预期 Q3 DRAM ASP 环比 +15%，公司口径为 +8%~+10%——ASP 动能减速约 5–7 个百分点，这是股价业绩后下跌 8% 最直接的解释（推断）。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资本开支指引上调 15%：在 ASP 减速的同时增加供给投入，市场可能解读为周期后段信号（推断）。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估值与评级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步骤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计算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结果（测算）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CY2027 营业利润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给定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 EV/营业利润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给定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35 × 8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280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加净现金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285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每股目标价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285 / 1.0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285 美元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隐含回报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285 / 310 − 1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−8.1%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评级规则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−10%~+15% 为持有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持有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敏感性（测算）：7× → 250 美元（−19.4%，卖出）；9× → 320 美元（+3.2%，持有）。当前股价隐含约 8.7× CY2027 营业利润（(310−5)/35），高于目标倍数。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催化剂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正面：Q3 DRAM ASP 实际达到或超过 +10%；客户验收延后的量在 Q3 回补（验证管理层解释）。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负面：ASP 环比涨幅进一步收窄；资本开支上调带来的供给增加压制 2027 年价格；再次出现一次性项目掩盖经营趋势。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周期风险：DRAM ASP 减速 + 资本开支上调是典型的周期后段组合（推断，需后续季度验证）。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可信度风险：“客户验收延后”无独立验证。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估值风险：股价 310 高于框架目标价 285，隐含回报 −8.1% 接近卖出边界（−10%），若倍数下修至 7× 即触发卖出。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7. 投委会建议</w:t>
      </w:r>
    </w:p>
    <w:p>
      <w:r>
        <w:rPr>
          <w:rFonts w:ascii="Microsoft YaHei" w:hAnsi="Microsoft YaHei" w:eastAsia="Microsoft YaHei"/>
          <w:sz w:val="21"/>
        </w:rPr>
        <w:t>维持持有，不加仓；若 Q3 DRAM ASP 指引兑现下限（+8%）且资本开支继续上调，转为卖出；若 ASP 实际 ≥ +12% 并伴随 bits 回补，重新评估目标倍数。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