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30"/>
        </w:rPr>
        <w:t>组合风险快照（NAV 5,000 万美元；头寸单位：百万美元）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1. 头寸与敞口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头寸</w:t>
            </w:r>
          </w:p>
        </w:tc>
        <w:tc>
          <w:tcPr>
            <w:tcW w:type="dxa" w:w="199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市值</w:t>
            </w:r>
          </w:p>
        </w:tc>
        <w:tc>
          <w:tcPr>
            <w:tcW w:type="dxa" w:w="199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Beta</w:t>
            </w:r>
          </w:p>
        </w:tc>
        <w:tc>
          <w:tcPr>
            <w:tcW w:type="dxa" w:w="199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行业</w:t>
            </w:r>
          </w:p>
        </w:tc>
        <w:tc>
          <w:tcPr>
            <w:tcW w:type="dxa" w:w="199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Beta 调整市值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Long A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+20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1.3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Tech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+26.0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Long B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+15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0.8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Health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+12.0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Long C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+10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1.1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Tech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+11.0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Short D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−12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1.2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Tech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−14.4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Short E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−8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0.6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Consumer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−4.8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指标</w:t>
            </w:r>
          </w:p>
        </w:tc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计算</w:t>
            </w:r>
          </w:p>
        </w:tc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金额</w:t>
            </w:r>
          </w:p>
        </w:tc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占 NAV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总敞口 Gross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20+15+10+12+8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65.0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130.0%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净敞口 Net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20+15+10−12−8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25.0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50.0%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Beta 调整净敞口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26.0+12.0+11.0−14.4−4.8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29.8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59.6%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多头合计 / 空头合计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45 / −20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45.0 / −20.0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90% / −40%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2. 行业敞口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行业</w:t>
            </w:r>
          </w:p>
        </w:tc>
        <w:tc>
          <w:tcPr>
            <w:tcW w:type="dxa" w:w="1425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多头</w:t>
            </w:r>
          </w:p>
        </w:tc>
        <w:tc>
          <w:tcPr>
            <w:tcW w:type="dxa" w:w="1425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空头</w:t>
            </w:r>
          </w:p>
        </w:tc>
        <w:tc>
          <w:tcPr>
            <w:tcW w:type="dxa" w:w="1425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净敞口</w:t>
            </w:r>
          </w:p>
        </w:tc>
        <w:tc>
          <w:tcPr>
            <w:tcW w:type="dxa" w:w="1425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净占 NAV</w:t>
            </w:r>
          </w:p>
        </w:tc>
        <w:tc>
          <w:tcPr>
            <w:tcW w:type="dxa" w:w="1425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总敞口</w:t>
            </w:r>
          </w:p>
        </w:tc>
        <w:tc>
          <w:tcPr>
            <w:tcW w:type="dxa" w:w="1425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Beta 调整净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Tech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30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−12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+18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36.0%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42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+22.6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Health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15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+15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30.0%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15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+12.0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Consumer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−8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−8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−16.0%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−4.8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合计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45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−20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+25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50.0%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65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+29.8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观察：组合的净多头几乎全部来自 Tech 与 Health；Tech 净敞口 36% NAV 且总敞口 42（占 Gross 的 65%），是最大的集中风险。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3. 压力情景 P&amp;L（Tech −10%、Health −5%、Consumer +4%、其余 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头寸</w:t>
            </w:r>
          </w:p>
        </w:tc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市值</w:t>
            </w:r>
          </w:p>
        </w:tc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冲击</w:t>
            </w:r>
          </w:p>
        </w:tc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P&amp;L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Long A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+20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−10%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−2.00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Long C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+10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−10%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−1.00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Short D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−12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−10%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+1.20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Long B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+15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−5%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−0.75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Short E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−8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+4%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−0.32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合计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−2.87（−5.74% NAV）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按行业：Tech −1.80、Health −0.75、Consumer −0.32。该情景下三个行业全部亏损——空头 Consumer 在上涨情景中同样受损，组合没有任何一条腿提供对冲。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4. 两项对冲建议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对冲</w:t>
            </w:r>
          </w:p>
        </w:tc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操作</w:t>
            </w:r>
          </w:p>
        </w:tc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效果（测算）</w:t>
            </w:r>
          </w:p>
        </w:tc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H1：削减 Tech 净多头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新增 Tech 行业指数空头 10.0（假设指数 beta 1.0，待确认）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Tech 净敞口 18→8（16% NAV）；情景 Tech P&amp;L −1.80→−0.80；Beta 调整净敞口 29.8→19.8（39.6%）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针对最大集中风险；Gross 升至 75（150%）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H2：对冲 Health 多头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新增 Health 行业指数空头 7.5（假设 beta 1.0，待确认）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Health 净敞口 15→7.5；情景 Health P&amp;L −0.75→−0.375；Beta 调整净敞口再降 7.5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保留个股 alpha，削减行业 beta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合计（H1+H2）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情景 P&amp;L −2.87→</w:t>
            </w:r>
            <w:r>
              <w:rPr>
                <w:rFonts w:ascii="Microsoft YaHei" w:hAnsi="Microsoft YaHei" w:eastAsia="Microsoft YaHei"/>
                <w:b/>
                <w:sz w:val="19"/>
              </w:rPr>
              <w:t>−1.50（−2.99% NAV）</w:t>
            </w:r>
            <w:r>
              <w:rPr>
                <w:rFonts w:ascii="Microsoft YaHei" w:hAnsi="Microsoft YaHei" w:eastAsia="Microsoft YaHei"/>
                <w:sz w:val="19"/>
              </w:rPr>
              <w:t>；Net 25→7.5（15%）；Beta 调整净 29.8→12.3（24.6%）；Gross 65→82.5（165%）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若 Gross 上限有约束，可改为直接减持 Long A/Long C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备选（不作为主建议）：回补一半 Short E（4.0）可将 Consumer 情景亏损从 −0.32 降至 −0.16，但会提高净多头，与降低方向性风险的目标相悖。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5. 结论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组合方向性偏多（Net 50%、Beta 调整 59.6%），且集中于 Tech；压力情景亏损 5.74% NAV。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建议先执行 H1（Tech 指数空头 10），再视 Gross 限额决定 H2；两项合计可将情景亏损减半。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