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verb-hint-style"/>
      </w:sdtPr>
      <w:sdtContent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color w:val="7030A0"/>
              <w:sz w:val="15"/>
              <w:szCs w:val="15"/>
            </w:rPr>
            <w:t xml:space="preserve">is called</w:t>
          </w:r>
          <w:r>
            <w:rPr>
              <w:color w:val="7030A0"/>
              <w:sz w:val="15"/>
              <w:szCs w:val="15"/>
            </w:rPr>
            <w:t xml:space="preserve"> a detective]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[형사</w:t>
          </w:r>
          <w:r>
            <w:rPr>
              <w:b w:val="0"/>
              <w:bCs w:val="1"/>
              <w:color w:val="000000"/>
              <w:sz w:val="15"/>
              <w:szCs w:val="15"/>
              <w:u w:val="single"/>
            </w:rPr>
            <w:t xml:space="preserve">라고 불린다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(be called A 구문)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overLogo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