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cover"/>
      </w:sdtPr>
      <w:sdtContent>
        <w:p>
          <w:pPr>
            <w:keepNext/>
            <w:keepLines/>
            <w:spacing w:before="520" w:after="160" w:line="1440" w:lineRule="atLeast"/>
          </w:pPr>
          <w:r/>
        </w:p>
        <w:p>
          <w:pPr>
            <w:keepNext/>
            <w:keepLines/>
            <w:spacing w:before="0" w:after="240" w:line="364" w:lineRule="atLeast"/>
          </w:pPr>
          <w:r>
            <w:rPr>
              <w:rFonts w:ascii="맑은 고딕" w:hAnsi="맑은 고딕" w:eastAsia="맑은 고딕"/>
              <w:b/>
              <w:color w:val="203864"/>
              <w:sz w:val="28"/>
              <w:szCs w:val="28"/>
            </w:rPr>
            <w:t xml:space="preserve">혼공교재 독해편</w:t>
          </w:r>
        </w:p>
        <w:p>
          <w:pPr>
            <w:keepNext/>
            <w:keepLines/>
            <w:spacing w:before="0" w:after="200" w:line="884" w:lineRule="atLeast"/>
          </w:pPr>
          <w:r>
            <w:rPr>
              <w:rFonts w:ascii="맑은 고딕" w:hAnsi="맑은 고딕" w:eastAsia="맑은 고딕"/>
              <w:b/>
              <w:color w:val="203864"/>
              <w:sz w:val="68"/>
              <w:szCs w:val="68"/>
            </w:rPr>
            <w:t xml:space="preserve">공통영어2</w:t>
          </w:r>
        </w:p>
        <w:p>
          <w:pPr>
            <w:keepNext/>
            <w:keepLines/>
            <w:spacing w:before="0" w:after="560" w:line="364" w:lineRule="atLeast"/>
          </w:pPr>
          <w:r>
            <w:rPr>
              <w:rFonts w:ascii="맑은 고딕" w:hAnsi="맑은 고딕" w:eastAsia="맑은 고딕"/>
              <w:color w:val="65748A"/>
              <w:sz w:val="28"/>
              <w:szCs w:val="28"/>
            </w:rPr>
            <w:t xml:space="preserve">능률(민병천)  ·  4과</w:t>
          </w:r>
        </w:p>
        <w:tbl>
          <w:tblPr>
            <w:tblW w:w="10466" w:type="dxa"/>
            <w:tblLayout w:type="fixed"/>
            <w:tblCellMar>
              <w:top w:w="280" w:type="dxa"/>
              <w:left w:w="320" w:type="dxa"/>
              <w:bottom w:w="280" w:type="dxa"/>
              <w:right w:w="320" w:type="dxa"/>
            </w:tblCellMar>
          </w:tblPr>
          <w:tblGrid>
            <w:gridCol w:w="10466"/>
          </w:tblGrid>
          <w:tr>
            <w:tc>
              <w:tcPr>
                <w:tcW w:w="10466" w:type="dxa"/>
                <w:shd w:fill="203864" w:val="clear"/>
                <w:tcMar>
                  <w:top w:w="280" w:type="dxa"/>
                  <w:left w:w="320" w:type="dxa"/>
                  <w:bottom w:w="280" w:type="dxa"/>
                  <w:right w:w="320" w:type="dxa"/>
                </w:tcMar>
              </w:tcPr>
              <w:p>
                <w:pPr>
                  <w:keepNext/>
                  <w:keepLines/>
                  <w:spacing w:before="0" w:after="200" w:line="572" w:lineRule="atLeast"/>
                </w:pPr>
                <w:r>
                  <w:rPr>
                    <w:rFonts w:ascii="맑은 고딕" w:hAnsi="맑은 고딕" w:eastAsia="맑은 고딕"/>
                    <w:b w:val="1"/>
                    <w:color w:val="FFFFFF"/>
                    <w:sz w:val="44"/>
                    <w:szCs w:val="44"/>
                    <w:bCs w:val="1"/>
                  </w:rPr>
                  <w:t xml:space="preserve">Shared Layout Test Synthetic Data Only</w:t>
                </w:r>
              </w:p>
              <w:p>
                <w:pPr>
                  <w:keepNext/>
                  <w:keepLines/>
                  <w:spacing w:before="0" w:after="0" w:line="273" w:lineRule="atLeast"/>
                </w:pPr>
                <w:r>
                  <w:rPr>
                    <w:rFonts w:ascii="맑은 고딕" w:hAnsi="맑은 고딕" w:eastAsia="맑은 고딕"/>
                    <w:color w:val="DCE6F1"/>
                    <w:sz w:val="21"/>
                    <w:szCs w:val="21"/>
                  </w:rPr>
                  <w:t xml:space="preserve">자동 연결 시험 · 학습용 자료 아님</w:t>
                </w:r>
              </w:p>
            </w:tc>
          </w:tr>
        </w:tbl>
        <w:p>
          <w:pPr>
            <w:keepNext/>
            <w:keepLines/>
            <w:spacing w:before="320" w:after="80" w:line="286" w:lineRule="atLeast"/>
          </w:pPr>
          <w:r>
            <w:rPr>
              <w:rFonts w:ascii="맑은 고딕" w:hAnsi="맑은 고딕" w:eastAsia="맑은 고딕"/>
              <w:b/>
              <w:color w:val="203864"/>
              <w:sz w:val="22"/>
              <w:szCs w:val="22"/>
            </w:rPr>
            <w:t xml:space="preserve">1개 문단   /   본문 3문장</w:t>
          </w:r>
        </w:p>
        <w:p>
          <w:pPr>
            <w:keepNext/>
            <w:keepLines/>
            <w:spacing w:before="0" w:after="500" w:line="260" w:lineRule="atLeast"/>
          </w:pPr>
          <w:r>
            <w:rPr>
              <w:rFonts w:ascii="맑은 고딕" w:hAnsi="맑은 고딕" w:eastAsia="맑은 고딕"/>
              <w:color w:val="65748A"/>
              <w:sz w:val="20"/>
              <w:szCs w:val="20"/>
            </w:rPr>
            <w:t xml:space="preserve">혼공해석지 + 지문분석지</w:t>
          </w:r>
        </w:p>
        <w:p>
          <w:pPr>
            <w:keepNext/>
            <w:keepLines/>
            <w:spacing w:before="0" w:after="200" w:line="312" w:lineRule="atLeast"/>
          </w:pPr>
          <w:r>
            <w:rPr>
              <w:rFonts w:ascii="맑은 고딕" w:hAnsi="맑은 고딕" w:eastAsia="맑은 고딕"/>
              <w:b/>
              <w:color w:val="203864"/>
              <w:sz w:val="24"/>
              <w:szCs w:val="24"/>
            </w:rPr>
            <w:t xml:space="preserve">이 한 권으로 이어지는 학습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01   혼공해석지 — 먼저 스스로 해석하기</w:t>
          </w:r>
        </w:p>
        <w:p>
          <w:pPr>
            <w:keepNext w:val="0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02   지문 분석 — 해석을 비교하고 흐름과 어법 확인하기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