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BCS Code of Conduct – Section 2b Summary</w:t>
      </w:r>
    </w:p>
    <w:p>
      <w:r>
        <w:t>Section 2 of the BCS Code of Conduct covers Professional Competence and Integrity. Clause 2b states that members must not claim a level of competence they do not possess. This applies to technical skills, experience, qualifications and professional status.</w:t>
        <w:br/>
        <w:br/>
        <w:t>In practice, Section 2b means you must be completely honest about what you can and cannot do. You should not describe yourself as an expert or specialist in a technology, method or domain unless you genuinely have the depth of knowledge and experience normally associated with that title. You must not imply certifications, chartered status or membership grades that you do not actually hold, and you should correct employers or marketing materials if they exaggerate your abilities.</w:t>
        <w:br/>
        <w:br/>
        <w:t>The clause exists to protect clients and the wider public. IT systems often underpin critical services such as finance, healthcare and government. If an IT professional overstates their competence and then delivers poor work, the result can be data breaches, financial loss, operational disruption or harm to individuals. Misrepresentation therefore undermines the trust on which professional relationships depend and can damage the reputation of both the employer and the IT profession as a whole.</w:t>
        <w:br/>
        <w:br/>
        <w:t>Section 2b also has legal and contractual implications. Exaggerating your competence may expose you and your organisation to claims of negligence or misrepresentation. Breaches of the Code can lead to BCS disciplinary action, including sanctions or expulsion from membership.</w:t>
        <w:br/>
        <w:br/>
        <w:t>To comply with Section 2b you should:</w:t>
      </w:r>
    </w:p>
    <w:p>
      <w:pPr>
        <w:pStyle w:val="ListBullet"/>
      </w:pPr>
      <w:r>
        <w:t>Describe your skills and experience accurately on CVs, profiles and tenders.</w:t>
      </w:r>
    </w:p>
    <w:p>
      <w:pPr>
        <w:pStyle w:val="ListBullet"/>
      </w:pPr>
      <w:r>
        <w:t>Set realistic expectations with managers and clients, especially when work is new or complex.</w:t>
      </w:r>
    </w:p>
    <w:p>
      <w:pPr>
        <w:pStyle w:val="ListBullet"/>
      </w:pPr>
      <w:r>
        <w:t>Ask for supervision, training or external expertise when a task exceeds your current competence.</w:t>
      </w:r>
    </w:p>
    <w:p>
      <w:pPr>
        <w:pStyle w:val="ListBullet"/>
      </w:pPr>
      <w:r>
        <w:t>Keep your knowledge up to date so that any claimed competence remains current and demonstrable.</w:t>
      </w:r>
    </w:p>
    <w:p>
      <w:r>
        <w:t>By following Section 2b, IT professionals help protect the public, reduce legal and commercial risk, and maintain trust in the BCS and the wider computing profession.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