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jc w:val="center"/>
      </w:pPr>
      <w:r>
        <w:rPr>
          <w:color w:val="000000"/>
        </w:rPr>
        <w:t>商业模式导向型数字披露与后续资产使用效率</w:t>
      </w:r>
    </w:p>
    <w:p>
      <w:pPr>
        <w:pStyle w:val="Subtitle"/>
        <w:keepNext/>
        <w:keepLines/>
        <w:widowControl/>
        <w:ind w:firstLine="0"/>
        <w:jc w:val="center"/>
      </w:pPr>
      <w:r>
        <w:rPr>
          <w:color w:val="000000"/>
        </w:rPr>
        <w:t>韩国 KOSPI 与 KOSDAQ 非金融上市公司的年报句子级证据</w:t>
      </w:r>
    </w:p>
    <w:p>
      <w:pPr>
        <w:keepNext w:val="0"/>
        <w:keepLines w:val="0"/>
        <w:widowControl/>
      </w:pPr>
    </w:p>
    <w:p>
      <w:pPr>
        <w:keepNext w:val="0"/>
        <w:keepLines w:val="0"/>
        <w:widowControl/>
        <w:ind w:firstLine="0"/>
        <w:jc w:val="center"/>
      </w:pPr>
      <w:r>
        <w:t>2026年9月</w:t>
      </w:r>
    </w:p>
    <w:p>
      <w:pPr>
        <w:keepNext w:val="0"/>
        <w:keepLines w:val="0"/>
        <w:widowControl/>
      </w:pPr>
      <w:r>
        <w:br w:type="page"/>
      </w:r>
    </w:p>
    <w:p>
      <w:pPr>
        <w:pStyle w:val="Heading1"/>
        <w:keepNext/>
        <w:keepLines/>
        <w:pageBreakBefore w:val="0"/>
        <w:widowControl/>
      </w:pPr>
      <w:r>
        <w:rPr>
          <w:color w:val="000000"/>
        </w:rPr>
        <w:t>摘要</w:t>
      </w:r>
    </w:p>
    <w:p>
      <w:pPr>
        <w:keepNext w:val="0"/>
        <w:keepLines w:val="0"/>
        <w:widowControl/>
        <w:jc w:val="both"/>
      </w:pPr>
      <w:r>
        <w:t>年报中的数字化词语日益普遍，但词频无法区分平台、线上渠道和数字服务等经营行动，与系统升级、基础设施和内部自动化等一般技术行动。本文使用韩国金融监督院DART/OpenDART的韩文年报与财务数据，构建2015—2025年KOSPI和KOSDAQ非金融上市公司面板，并在句子层面识别实质性数字披露。涉及价值创造、价值交付或价值获取的行动被定义为商业模式导向型数字披露（BMIDisclosure），其余实质性技术行动被定义为非商业模式导向型数字披露（NonBMIDisclosure）。主回归考察13,980个公司年度、2,054家公司，以两年后的资产周转率为因变量，控制公司固定效应、年份固定效应、基期经营状况及其他财务特征，标准误按公司聚类。</w:t>
      </w:r>
    </w:p>
    <w:p>
      <w:pPr>
        <w:keepNext w:val="0"/>
        <w:keepLines w:val="0"/>
        <w:widowControl/>
        <w:jc w:val="both"/>
      </w:pPr>
      <w:r>
        <w:t>商业模式导向披露的基准系数为0.0302（SE=0.0069，p&lt;0.001）。两类披露同时进入模型时，系数差异的Wald检验p值为0.0019；换算为每1,000个有效句子的共同尺度后，差异检验p值为0.0021。主样本中从第25百分位到第75百分位的变化，对应资产周转率0.0115的条件差异，约为因变量均值的1.44%。总披露量、构成比例、销售、资产、盈利、时间外预测和资本市场结果进一步限定了这一结论。研究经历过较大范围的事后模型探索，文本重建也存在2,822个公司年度的句子计数差异；有限时间维度下的动态固定效应偏误仍可能影响系数。因此，本文只把结果解释为幅度较小、选择后的平均条件关联，不作因果或实用预测解释。</w:t>
      </w:r>
    </w:p>
    <w:p>
      <w:pPr>
        <w:keepNext w:val="0"/>
        <w:keepLines w:val="0"/>
        <w:widowControl/>
        <w:ind w:firstLine="0"/>
      </w:pPr>
      <w:r>
        <w:rPr>
          <w:b/>
        </w:rPr>
        <w:t>关键词：</w:t>
      </w:r>
      <w:r>
        <w:t>数字化转型；商业模式创新；企业披露；文本分析；资产周转率；韩国上市公司</w:t>
      </w:r>
    </w:p>
    <w:p>
      <w:pPr>
        <w:pStyle w:val="Heading1"/>
        <w:keepNext/>
        <w:keepLines/>
        <w:pageBreakBefore w:val="0"/>
        <w:widowControl/>
      </w:pPr>
      <w:r>
        <w:rPr>
          <w:color w:val="000000"/>
        </w:rPr>
        <w:t>1 引言</w:t>
      </w:r>
    </w:p>
    <w:p>
      <w:pPr>
        <w:pStyle w:val="Heading2"/>
        <w:keepNext/>
        <w:keepLines/>
        <w:widowControl/>
      </w:pPr>
      <w:r>
        <w:rPr>
          <w:color w:val="000000"/>
        </w:rPr>
        <w:t>1.1 研究背景与问题提出</w:t>
      </w:r>
    </w:p>
    <w:p>
      <w:pPr>
        <w:keepNext w:val="0"/>
        <w:keepLines w:val="0"/>
        <w:widowControl/>
        <w:jc w:val="both"/>
      </w:pPr>
      <w:r>
        <w:t>数字技术已经进入多数企业的战略叙述。与此同时，digital、AI、data、cloud和platform等词语的普及，使“年报出现多少数字词”越来越难以代表企业具体披露了什么。一个句子可能描述行业趋势，也可能说明公司上线数字平台、建立在线销售渠道，或者仅仅升级内部系统。若这些内容被合并为同一个词频指标，测量值会同时包含战略行动、一般技术投入和模板化语言，研究结果也难以对应明确的经济含义。</w:t>
      </w:r>
    </w:p>
    <w:p>
      <w:pPr>
        <w:keepNext w:val="0"/>
        <w:keepLines w:val="0"/>
        <w:widowControl/>
        <w:jc w:val="both"/>
      </w:pPr>
      <w:r>
        <w:t>财务文本研究已经说明，词语必须结合披露语境理解。Loughran和McDonald（2011）发现，通用词典在财务文本中会产生系统性误判；Li（2008）以及Lang和Stice-Lawrence（2015）表明，报告长度、可读性和文本结构本身与企业特征及经营结果相关。因此，本文不以数字关键词次数直接衡量企业数字化，而是把年报切分为句子，要求数字技术对象、公司自身行动和可识别经营用途同时出现。</w:t>
      </w:r>
    </w:p>
    <w:p>
      <w:pPr>
        <w:keepNext w:val="0"/>
        <w:keepLines w:val="0"/>
        <w:widowControl/>
        <w:jc w:val="both"/>
      </w:pPr>
      <w:r>
        <w:t>文本指标还需要与结果变量形成清楚的理论联系。平台、线上渠道、数字服务和订阅安排直接涉及企业接触客户与取得收入的方式，其经营结果可能先体现在销售能力和资产利用率上；系统升级、基础设施和内部自动化则更多支持既有业务。本文据此考察商业模式导向披露是否与后续资产周转率相关，以及这种关系是否不同于一般技术导向披露。</w:t>
      </w:r>
    </w:p>
    <w:p>
      <w:pPr>
        <w:pStyle w:val="Heading2"/>
        <w:keepNext/>
        <w:keepLines/>
        <w:widowControl/>
      </w:pPr>
      <w:r>
        <w:rPr>
          <w:color w:val="000000"/>
        </w:rPr>
        <w:t>1.2 研究问题与研究贡献</w:t>
      </w:r>
    </w:p>
    <w:p>
      <w:pPr>
        <w:keepNext w:val="0"/>
        <w:keepLines w:val="0"/>
        <w:widowControl/>
        <w:jc w:val="both"/>
      </w:pPr>
      <w:r>
        <w:t>本文围绕两个相互衔接的问题展开。第一个问题是，在控制企业长期不变特征、共同年度冲击和基期财务状况后，BMIDisclosure是否与后续资产周转率相关。第二个问题是，BMIDisclosure与NonBMIDisclosure的估计系数是否存在统计差异。第二个问题要求在同一回归中同时纳入两项变量，并直接检验两项系数是否相等，不能依据“一个显著而另一个不显著”作出判断。</w:t>
      </w:r>
    </w:p>
    <w:p>
      <w:pPr>
        <w:keepNext w:val="0"/>
        <w:keepLines w:val="0"/>
        <w:widowControl/>
        <w:jc w:val="both"/>
      </w:pPr>
      <w:r>
        <w:t>在回答核心问题后，本文进一步检查三项边界。第一，数字披露总量和BMI内容占比分别具有何种关系；第二，资产周转率结果主要伴随销售、资产还是盈利变化；第三，面板中的平均条件关联能否转化为样本外预测能力或年报提交日附近的资本市场反应。这些补充分析用于限制结论范围，而不是建立新的研究主线。</w:t>
      </w:r>
    </w:p>
    <w:p>
      <w:pPr>
        <w:keepNext w:val="0"/>
        <w:keepLines w:val="0"/>
        <w:widowControl/>
        <w:jc w:val="both"/>
      </w:pPr>
      <w:r>
        <w:t>本文首先提出一种较窄的句子级操作化。只有同时出现数字技术对象、企业行动和明确经营用途的句子才进入实质性数字披露；趋势描述、口号和缺少行动主体的表达被排除。该规则旨在减少简单词频的语境噪声，但现有材料尚不足以证明分类误差已经降低。</w:t>
      </w:r>
    </w:p>
    <w:p>
      <w:pPr>
        <w:keepNext w:val="0"/>
        <w:keepLines w:val="0"/>
        <w:widowControl/>
        <w:jc w:val="both"/>
      </w:pPr>
      <w:r>
        <w:t>其次，研究没有停留在分别观察两个系数是否显著，而是把BMIDisclosure和NonBMIDisclosure放在同一个模型中，并在各自标准差和每千句共同尺度上直接检验系数差异。这一步使“内容类型不同”成为可检验命题。最后，论文保留TotalDigital、BMIShare、盈利、样本外预测和资本市场反应中的非支持性结果。正负证据放在一起后，结论范围更清楚：句子内容有助于解释样本内资产使用效率的平均差异，但尚不足以支持强预测或强因果判断。</w:t>
      </w:r>
    </w:p>
    <w:p>
      <w:pPr>
        <w:keepNext w:val="0"/>
        <w:keepLines w:val="0"/>
        <w:widowControl/>
        <w:jc w:val="both"/>
      </w:pPr>
      <w:r>
        <w:t>本文不声称韩国市场此前没有数字化研究，也不把年报披露等同于实际实施。研究增量来自对既有数字文本指标中内容混合问题的处理，以及在KOSPI和KOSDAQ大样本中对不同披露类型的直接比较。</w:t>
      </w:r>
    </w:p>
    <w:p>
      <w:pPr>
        <w:pStyle w:val="Heading1"/>
        <w:keepNext/>
        <w:keepLines/>
        <w:pageBreakBefore w:val="0"/>
        <w:widowControl/>
      </w:pPr>
      <w:r>
        <w:rPr>
          <w:color w:val="000000"/>
        </w:rPr>
        <w:t>2 文献综述与理论假设</w:t>
      </w:r>
    </w:p>
    <w:p>
      <w:pPr>
        <w:pStyle w:val="Heading2"/>
        <w:keepNext/>
        <w:keepLines/>
        <w:widowControl/>
      </w:pPr>
      <w:r>
        <w:rPr>
          <w:color w:val="000000"/>
        </w:rPr>
        <w:t>2.1 数字化、商业模式与资产使用效率</w:t>
      </w:r>
    </w:p>
    <w:p>
      <w:pPr>
        <w:keepNext w:val="0"/>
        <w:keepLines w:val="0"/>
        <w:widowControl/>
        <w:jc w:val="both"/>
      </w:pPr>
      <w:r>
        <w:t>数字化转型不是单次技术采购，而是数字技术与组织结构、业务流程和战略方向共同变化的过程（Vial, 2019; Verhoef et al., 2021）。Bharadwaj et al.（2013）提出数字商业战略概念，强调数字技术已经进入战略范围、扩张速度和价值创造方式。由此推导，数字化与经营结果的关系可能因企业能力、投资阶段和结果指标不同而表现出差异。销售、盈利、现金流和市场估值并不必然在同一时期变化。</w:t>
      </w:r>
    </w:p>
    <w:p>
      <w:pPr>
        <w:keepNext w:val="0"/>
        <w:keepLines w:val="0"/>
        <w:widowControl/>
        <w:jc w:val="both"/>
      </w:pPr>
      <w:r>
        <w:t>早期信息技术研究已指出，技术投入通常需要与组织调整、技能和业务流程互补，才可能转化为生产率改善（Brynjolfsson &amp; Hitt, 2000）。这也解释了为什么数字行动的结果可能分阶段出现：渠道和服务上线后，交易规模可能先变化；开发费用、营销投入和组织磨合则可能压低同期利润。Nasiri et al.（2022）的研究同样表明，数字导向、数字强度和数字成熟度不是可以互相替代的概念，企业是否具备落实能力会影响财务结果。</w:t>
      </w:r>
    </w:p>
    <w:p>
      <w:pPr>
        <w:keepNext w:val="0"/>
        <w:keepLines w:val="0"/>
        <w:widowControl/>
        <w:jc w:val="both"/>
      </w:pPr>
      <w:r>
        <w:t>以年报文本衡量数字活动的研究也没有得到完全一致的经营结果。Chen和Srinivasan（2024）发现数字活动披露与估值存在关系，但近期基本面改善的证据较弱。这类结果提醒我们，不应预设数字披露会同时改善销售、资产利用和利润，而应分别检验不同结果指标及其发生时间。</w:t>
      </w:r>
    </w:p>
    <w:p>
      <w:pPr>
        <w:keepNext w:val="0"/>
        <w:keepLines w:val="0"/>
        <w:widowControl/>
        <w:jc w:val="both"/>
      </w:pPr>
      <w:r>
        <w:t>Wessel et al.（2021）把数字化转型与IT支持型组织变革区分开来：前者可能重新定义企业价值主张，后者主要强化既有价值主张。Sebastian et al.（2017）也区分面向客户的数字战略和支持内部运营的技术基础。这些研究说明，若只统计数字词语总量，就可能掩盖不同类型行动的经营含义。</w:t>
      </w:r>
    </w:p>
    <w:p>
      <w:pPr>
        <w:keepNext w:val="0"/>
        <w:keepLines w:val="0"/>
        <w:widowControl/>
        <w:jc w:val="both"/>
      </w:pPr>
      <w:r>
        <w:t>商业模式描述企业如何组织活动以创造、交付和获取价值（Teece, 2010; Zott et al., 2011）。数字平台可能连接企业与更多用户，线上渠道改变产品或服务的交付方式，软件与数据服务可以扩大非实体化供给，订阅和经常性收入安排则改变价值获取方式。这些行动与一般后台系统升级的区别，不在于技术是否先进，而在于它是否直接进入企业面向客户和形成收入的活动结构。</w:t>
      </w:r>
    </w:p>
    <w:p>
      <w:pPr>
        <w:keepNext w:val="0"/>
        <w:keepLines w:val="0"/>
        <w:widowControl/>
        <w:jc w:val="both"/>
      </w:pPr>
      <w:r>
        <w:t>商业模式创新的概念边界长期存在争议（Foss &amp; Saebi, 2017; Massa et al., 2017）。本文因此采用较窄的操作定义：只有句子明确描述平台、数字渠道、数字服务、订阅、生态系统、智能或连接型产品等涉及价值创造、交付或获取的行动时，才归入商业模式导向内容。该定义减少了把所有技术投入都解释为商业模式创新的风险。</w:t>
      </w:r>
    </w:p>
    <w:p>
      <w:pPr>
        <w:keepNext w:val="0"/>
        <w:keepLines w:val="0"/>
        <w:widowControl/>
        <w:jc w:val="both"/>
      </w:pPr>
      <w:r>
        <w:t>这种分类与Sklenarz et al.（2024）对外部客户导向和内部流程导向数字化重点的区分相近，但本文并不照搬其词典。韩国韩文年报的表达方式、法定章节和句子结构不同，因此本研究从公司行动和经营用途出发建立句子规则。关注点也有所不同：本文不是检验数字化如何改变市场份额与利润率的关系，而是比较两类披露与后续资产使用效率的条件关联。</w:t>
      </w:r>
    </w:p>
    <w:p>
      <w:pPr>
        <w:pStyle w:val="Heading2"/>
        <w:keepNext/>
        <w:keepLines/>
        <w:widowControl/>
      </w:pPr>
      <w:r>
        <w:rPr>
          <w:color w:val="000000"/>
        </w:rPr>
        <w:t>2.2 企业披露与文本测量</w:t>
      </w:r>
    </w:p>
    <w:p>
      <w:pPr>
        <w:keepNext w:val="0"/>
        <w:keepLines w:val="0"/>
        <w:widowControl/>
        <w:jc w:val="both"/>
      </w:pPr>
      <w:r>
        <w:t>近年的实证研究开始用年报中的数字技术词语构造企业层面的数字化指标。Chen和Srinivasan（2024）依据10-K业务描述中的数字词披露研究企业价值和经营表现；Sklenarz et al.（2024）进一步区分面向外部客户与面向内部流程的数字化重点。它们说明年报文本能够提供传统财务科目之外的信息，也同时暴露出一个尚未充分解决的问题：相同的数字词可能对应完全不同的经营动作。如果平台上线、ERP升级和行业趋势被直接加总，指标数值虽然可比，其理论含义却不够清楚。</w:t>
      </w:r>
    </w:p>
    <w:p>
      <w:pPr>
        <w:keepNext w:val="0"/>
        <w:keepLines w:val="0"/>
        <w:widowControl/>
        <w:jc w:val="both"/>
      </w:pPr>
      <w:r>
        <w:t>本文聚焦文本测量中的内容混合，而不是笼统主张韩国缺少数字化研究。数字技术语境被收紧到企业自身行动，并按行动是否直接涉及价值创造、价值交付或价值获取，区分商业模式导向披露与一般技术导向披露。这一操作化不能把披露转化为实施数据，但使两类文本指标对应更明确的理论含义。</w:t>
      </w:r>
    </w:p>
    <w:p>
      <w:pPr>
        <w:keepNext w:val="0"/>
        <w:keepLines w:val="0"/>
        <w:widowControl/>
        <w:jc w:val="both"/>
      </w:pPr>
      <w:r>
        <w:t>企业披露可以减少信息不对称，也可能反映管理层选择公开何种信息的动机（Healy &amp; Palepu, 2001）。年报具有覆盖面广、年度连续和可追溯的优点，适合构建大样本面板；但年报文字属于公开表述，不等于内部项目记录。文本指标既可能包含经营行动信息，也可能受到报告篇幅、法律模板、管理层语气和披露策略影响。</w:t>
      </w:r>
    </w:p>
    <w:p>
      <w:pPr>
        <w:keepNext w:val="0"/>
        <w:keepLines w:val="0"/>
        <w:widowControl/>
        <w:jc w:val="both"/>
      </w:pPr>
      <w:r>
        <w:t>现有研究已经从词频、语调、可读性和主题等方面提取财务文本信息。本文处理的问题更具体：含有数字关键词的句子是否描述企业自身行动，以及该行动是否涉及商业模式。句子级分类仍会产生语义误差，因此它是一种与理论问题对应的操作化，而不是经过独立验证的优越测量工具。</w:t>
      </w:r>
    </w:p>
    <w:p>
      <w:pPr>
        <w:keepNext w:val="0"/>
        <w:keepLines w:val="0"/>
        <w:widowControl/>
        <w:jc w:val="both"/>
      </w:pPr>
      <w:r>
        <w:t>Chen和Srinivasan（2024）以10-K业务描述中的数字词识别数字活动，Sklenarz et al.（2024）用自建词典衡量数字化程度及其内外部导向。两项研究为年报数字化测量提供了直接参照，也说明同一词语在产品、渠道、后台系统和行业讨论中可能具有不同含义。本文因此只用关键词定位候选句，最终计数取决于句子是否包含公司行动和经营用途。</w:t>
      </w:r>
    </w:p>
    <w:p>
      <w:pPr>
        <w:pStyle w:val="Heading2"/>
        <w:keepNext/>
        <w:keepLines/>
        <w:widowControl/>
      </w:pPr>
      <w:r>
        <w:rPr>
          <w:color w:val="000000"/>
        </w:rPr>
        <w:t>2.3 BMI、NonBMI与研究假设</w:t>
      </w:r>
    </w:p>
    <w:p>
      <w:pPr>
        <w:keepNext w:val="0"/>
        <w:keepLines w:val="0"/>
        <w:widowControl/>
        <w:jc w:val="both"/>
      </w:pPr>
      <w:r>
        <w:t>BMIDisclosure是对公开年报中商业模式导向型数字行动的披露强度测量。它包括数字平台、线上渠道、软件或数据服务、订阅与经常性收入、生态系统、智能产品和连接服务等内容。NonBMIDisclosure包括系统升级、IT基础设施、设备自动化和一般内部技术应用。二者都是公开披露的实质性数字行动信息，区别在于行动与客户、产品、服务、渠道或收入安排的直接程度。NonBMIDisclosure不代表无效技术投资，BMIDisclosure也不代表项目已经完成、投入规模已经确认或实施已经成功。</w:t>
      </w:r>
    </w:p>
    <w:p>
      <w:pPr>
        <w:keepNext w:val="0"/>
        <w:keepLines w:val="0"/>
        <w:widowControl/>
        <w:jc w:val="both"/>
      </w:pPr>
      <w:r>
        <w:t>理论上，商业模式导向行动可能扩大客户触点和交易规模，并使新增销售不必伴随同比例的实体资产扩张，因此更容易与资产周转率形成正向关系。一般技术行动可能提高内部效率，但在短期内也可能伴随设备、系统和组织调整投入，其与资产周转率的净关系未必同样明显。</w:t>
      </w:r>
    </w:p>
    <w:p>
      <w:pPr>
        <w:keepNext w:val="0"/>
        <w:keepLines w:val="0"/>
        <w:widowControl/>
        <w:jc w:val="both"/>
      </w:pPr>
      <w:r>
        <w:t>这里的区分是分析上的，不是价值判断。ERP、云基础设施和自动化可能是平台或数字服务得以运行的必要基础，只是它们离客户交易和收入安排更远。反过来，年报写到平台或线上渠道，也不能据此断定项目已经成功。本文比较的是两类公开披露的统计关系，而不是给企业的数字项目评优。</w:t>
      </w:r>
    </w:p>
    <w:p>
      <w:pPr>
        <w:keepNext w:val="0"/>
        <w:keepLines w:val="0"/>
        <w:widowControl/>
        <w:jc w:val="both"/>
      </w:pPr>
      <w:r>
        <w:t>H1：在控制企业自身不变特征、共同年度冲击及基期财务状况后，商业模式导向型数字披露与后续资产周转率呈正向关联。</w:t>
      </w:r>
    </w:p>
    <w:p>
      <w:pPr>
        <w:keepNext w:val="0"/>
        <w:keepLines w:val="0"/>
        <w:widowControl/>
        <w:jc w:val="both"/>
      </w:pPr>
      <w:r>
        <w:t>H2：在同一模型中，商业模式导向型数字披露与未来资产周转率的关联强于非商业模式导向型数字披露。</w:t>
      </w:r>
    </w:p>
    <w:p>
      <w:pPr>
        <w:pStyle w:val="Heading1"/>
        <w:keepNext/>
        <w:keepLines/>
        <w:pageBreakBefore w:val="0"/>
        <w:widowControl/>
      </w:pPr>
      <w:r>
        <w:rPr>
          <w:color w:val="000000"/>
        </w:rPr>
        <w:t>3 数据、样本与变量构造</w:t>
      </w:r>
    </w:p>
    <w:p>
      <w:pPr>
        <w:pStyle w:val="Heading2"/>
        <w:keepNext/>
        <w:keepLines/>
        <w:widowControl/>
      </w:pPr>
      <w:r>
        <w:rPr>
          <w:color w:val="000000"/>
        </w:rPr>
        <w:t>3.1 数据来源与样本形成</w:t>
      </w:r>
    </w:p>
    <w:p>
      <w:pPr>
        <w:keepNext w:val="0"/>
        <w:keepLines w:val="0"/>
        <w:widowControl/>
        <w:jc w:val="both"/>
      </w:pPr>
      <w:r>
        <w:t>上市公司名单、申报编号、韩文年度报告正文和核心财务报表来自韩国金融监督院DART/OpenDART（Financial Supervisory Service, n.d.）。冻结基础面板覆盖2015—2025年，共22,654个公司年度和2,402家至少拥有3个年度报告的KOSPI、KOSDAQ非金融上市公司。金融企业因资产负债结构、监管和经营指标与一般企业差异较大而被排除。</w:t>
      </w:r>
    </w:p>
    <w:p>
      <w:pPr>
        <w:keepNext w:val="0"/>
        <w:keepLines w:val="0"/>
        <w:widowControl/>
        <w:jc w:val="both"/>
      </w:pPr>
      <w:r>
        <w:t>公司代码和申报编号贯穿文本、财务和市场数据的合并过程，使公司年度观察能够回到DART原始申报。锁定的数据包保留申报编号和公司年度汇总值；重建全文解析时需按申报编号重新取得年报正文。无法可靠匹配的财务科目保留为缺失值，不以零替代。股票收益和波动率根据研究数据包中的日度交易价格序列计算，只作为基期控制变量；资本市场补充分析另以首次年报提交日对齐交易数据。</w:t>
      </w:r>
    </w:p>
    <w:p>
      <w:pPr>
        <w:keepNext w:val="0"/>
        <w:keepLines w:val="0"/>
        <w:widowControl/>
        <w:jc w:val="both"/>
      </w:pPr>
      <w:r>
        <w:t>主模型采用两年后的资产周转率。2024—2025年的报告尚无法观察相应的t+2结果，因此保留在基础面板中但不进入主模型。2015年的t+2结果虽然可以观察，但基期资产周转率、平均资产ROA和销售增长率的构造需要2014年财务数据；冻结面板未包含2014年，因而2015年无法形成完整控制变量。完整案例筛选后，对公司固定效应无法提供企业内识别的孤立观测进行处理，主回归最终覆盖2016—2023年、13,980个公司年度和2,054家公司。</w:t>
      </w:r>
    </w:p>
    <w:p>
      <w:pPr>
        <w:keepNext/>
        <w:keepLines w:val="0"/>
        <w:widowControl/>
        <w:spacing w:before="140" w:after="60"/>
        <w:ind w:firstLine="0"/>
        <w:jc w:val="center"/>
      </w:pPr>
      <w:r>
        <w:rPr>
          <w:rFonts w:ascii="黑体" w:hAnsi="黑体" w:eastAsia="黑体"/>
          <w:b/>
          <w:sz w:val="20"/>
        </w:rPr>
        <w:t>表1 样本形成与数据边界</w:t>
      </w:r>
    </w:p>
    <w:tbl>
      <w:tblPr>
        <w:tblW w:type="pct" w:w="5000"/>
        <w:jc w:val="center"/>
        <w:tblLayout w:type="autofit"/>
        <w:tblLook w:firstColumn="1" w:firstRow="1" w:lastColumn="0" w:lastRow="0" w:noHBand="0" w:noVBand="1" w:val="04A0"/>
      </w:tblPr>
      <w:tblGrid>
        <w:gridCol w:w="1814"/>
        <w:gridCol w:w="1814"/>
        <w:gridCol w:w="1814"/>
        <w:gridCol w:w="1814"/>
        <w:gridCol w:w="1814"/>
      </w:tblGrid>
      <w:tr>
        <w:trPr>
          <w:tblHeader w:val="true"/>
          <w:cantSplit/>
          <w:tblHeader w:val="true"/>
          <w:cantSplit/>
        </w:trPr>
        <w:tc>
          <w:tcPr>
            <w:tcW w:type="dxa" w:w="2268"/>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样本阶段</w:t>
            </w:r>
          </w:p>
        </w:tc>
        <w:tc>
          <w:tcPr>
            <w:tcW w:type="dxa" w:w="153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公司年度</w:t>
            </w:r>
          </w:p>
        </w:tc>
        <w:tc>
          <w:tcPr>
            <w:tcW w:type="dxa" w:w="130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公司数</w:t>
            </w:r>
          </w:p>
        </w:tc>
        <w:tc>
          <w:tcPr>
            <w:tcW w:type="dxa" w:w="147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年份</w:t>
            </w:r>
          </w:p>
        </w:tc>
        <w:tc>
          <w:tcPr>
            <w:tcW w:type="dxa" w:w="351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说明</w:t>
            </w:r>
          </w:p>
        </w:tc>
      </w:tr>
      <w:tr>
        <w:trPr>
          <w:cantSplit/>
        </w:trPr>
        <w:tc>
          <w:tcPr>
            <w:tcW w:type="dxa" w:w="226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冻结基础面板</w:t>
            </w:r>
          </w:p>
        </w:tc>
        <w:tc>
          <w:tcPr>
            <w:tcW w:type="dxa" w:w="153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22,654</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2,402</w:t>
            </w:r>
          </w:p>
        </w:tc>
        <w:tc>
          <w:tcPr>
            <w:tcW w:type="dxa" w:w="147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2015—2025</w:t>
            </w:r>
          </w:p>
        </w:tc>
        <w:tc>
          <w:tcPr>
            <w:tcW w:type="dxa" w:w="351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KOSPI与KOSDAQ非金融上市公司</w:t>
            </w:r>
          </w:p>
        </w:tc>
      </w:tr>
      <w:tr>
        <w:trPr>
          <w:cantSplit/>
        </w:trPr>
        <w:tc>
          <w:tcPr>
            <w:tcW w:type="dxa" w:w="226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主回归完整案例</w:t>
            </w:r>
          </w:p>
        </w:tc>
        <w:tc>
          <w:tcPr>
            <w:tcW w:type="dxa" w:w="153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14,098</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2,172</w:t>
            </w:r>
          </w:p>
        </w:tc>
        <w:tc>
          <w:tcPr>
            <w:tcW w:type="dxa" w:w="147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2016—2023</w:t>
            </w:r>
          </w:p>
        </w:tc>
        <w:tc>
          <w:tcPr>
            <w:tcW w:type="dxa" w:w="351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因变量与基准控制变量完整</w:t>
            </w:r>
          </w:p>
        </w:tc>
      </w:tr>
      <w:tr>
        <w:trPr>
          <w:cantSplit/>
        </w:trPr>
        <w:tc>
          <w:tcPr>
            <w:tcW w:type="dxa" w:w="226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固定效应估计样本</w:t>
            </w:r>
          </w:p>
        </w:tc>
        <w:tc>
          <w:tcPr>
            <w:tcW w:type="dxa" w:w="153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2,054</w:t>
            </w:r>
          </w:p>
        </w:tc>
        <w:tc>
          <w:tcPr>
            <w:tcW w:type="dxa" w:w="147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2016—2023</w:t>
            </w:r>
          </w:p>
        </w:tc>
        <w:tc>
          <w:tcPr>
            <w:tcW w:type="dxa" w:w="351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处理无法提供企业内识别的孤立观测</w:t>
            </w:r>
          </w:p>
        </w:tc>
      </w:tr>
      <w:tr>
        <w:trPr>
          <w:cantSplit/>
        </w:trPr>
        <w:tc>
          <w:tcPr>
            <w:tcW w:type="dxa" w:w="226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扩展控制严格口径样本</w:t>
            </w:r>
          </w:p>
        </w:tc>
        <w:tc>
          <w:tcPr>
            <w:tcW w:type="dxa" w:w="153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8,699</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1,452</w:t>
            </w:r>
          </w:p>
        </w:tc>
        <w:tc>
          <w:tcPr>
            <w:tcW w:type="dxa" w:w="147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2016—2023</w:t>
            </w:r>
          </w:p>
        </w:tc>
        <w:tc>
          <w:tcPr>
            <w:tcW w:type="dxa" w:w="351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四项扩展科目均匹配标准账户标签</w:t>
            </w:r>
          </w:p>
        </w:tc>
      </w:tr>
      <w:tr>
        <w:trPr>
          <w:cantSplit/>
        </w:trPr>
        <w:tc>
          <w:tcPr>
            <w:tcW w:type="dxa" w:w="2268"/>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研发变量同样本</w:t>
            </w:r>
          </w:p>
        </w:tc>
        <w:tc>
          <w:tcPr>
            <w:tcW w:type="dxa" w:w="153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546</w:t>
            </w:r>
          </w:p>
        </w:tc>
        <w:tc>
          <w:tcPr>
            <w:tcW w:type="dxa" w:w="130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93</w:t>
            </w:r>
          </w:p>
        </w:tc>
        <w:tc>
          <w:tcPr>
            <w:tcW w:type="dxa" w:w="147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模型可用年份</w:t>
            </w:r>
          </w:p>
        </w:tc>
        <w:tc>
          <w:tcPr>
            <w:tcW w:type="dxa" w:w="3515"/>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覆盖率过低，仅作敏感性分析</w:t>
            </w:r>
          </w:p>
        </w:tc>
      </w:tr>
    </w:tbl>
    <w:p>
      <w:pPr>
        <w:pStyle w:val="TableNote"/>
        <w:widowControl/>
      </w:pPr>
      <w:r>
        <w:rPr>
          <w:b/>
        </w:rPr>
        <w:t>注：</w:t>
      </w:r>
      <w:r>
        <w:t>不同模型的样本量由结果变量和控制变量可得性决定。缺失财务科目不以零替代。</w:t>
      </w:r>
    </w:p>
    <w:p>
      <w:pPr>
        <w:pStyle w:val="Heading2"/>
        <w:keepNext/>
        <w:keepLines/>
        <w:widowControl/>
      </w:pPr>
      <w:r>
        <w:rPr>
          <w:color w:val="000000"/>
        </w:rPr>
        <w:t>3.2 文本处理与BMI、NonBMI构造</w:t>
      </w:r>
    </w:p>
    <w:p>
      <w:pPr>
        <w:keepNext w:val="0"/>
        <w:keepLines w:val="0"/>
        <w:widowControl/>
        <w:jc w:val="both"/>
      </w:pPr>
      <w:r>
        <w:t>文本处理依次包括下载缓存、正文解析、格式清理、句子切分和重复内容处理。程序保留公司代码、年度和申报编号，使每个公司年度指标能够回溯到原始申报。目录、代码片段、纯会计科目和无法形成自然语言判断的文本不进入有效句子分母。</w:t>
      </w:r>
    </w:p>
    <w:p>
      <w:pPr>
        <w:keepNext w:val="0"/>
        <w:keepLines w:val="0"/>
        <w:widowControl/>
        <w:jc w:val="both"/>
      </w:pPr>
      <w:r>
        <w:t>文本处理以可追溯和稳定重建为目标，解析失败或无法稳定提取的报告不以推测值补齐。后续复核发现，现行重建流程与历史锁定面板之间有2,822个公司年度的句子计数不同。本文的统计结果仍基于历史锁定面板，本次修订没有替换解释变量，也无法由现有材料判断该差异对估计的影响。</w:t>
      </w:r>
    </w:p>
    <w:p>
      <w:pPr>
        <w:keepNext w:val="0"/>
        <w:keepLines w:val="0"/>
        <w:widowControl/>
        <w:jc w:val="both"/>
      </w:pPr>
      <w:r>
        <w:t>候选句首先需要出现数字技术或数字载体，例如人工智能、云、数据分析、平台、智能工厂、软件服务或线上渠道。句子还必须指向公司自身已经开展、正在建设、正式推出或作出明确实施安排的行动，并说明生产、供应链、销售、渠道、客户、产品、服务或收入等经营用途。三项条件同时满足时，句子才计为实质性数字披露。</w:t>
      </w:r>
    </w:p>
    <w:p>
      <w:pPr>
        <w:keepNext w:val="0"/>
        <w:keepLines w:val="0"/>
        <w:widowControl/>
        <w:jc w:val="both"/>
      </w:pPr>
      <w:r>
        <w:t>行业趋势、数字化重要性、没有行动主体的表达，以及未说明具体对象和用途的未来愿景不计入实质性数字披露。因而，本指标既包含已实施和实施中的行动，也包含对象、用途与实施安排均明确的承诺性披露；它不等于项目已经完成。</w:t>
      </w:r>
    </w:p>
    <w:p>
      <w:pPr>
        <w:keepNext/>
        <w:keepLines w:val="0"/>
        <w:widowControl/>
        <w:spacing w:before="140" w:after="60"/>
        <w:ind w:firstLine="0"/>
        <w:jc w:val="center"/>
      </w:pPr>
      <w:r>
        <w:rPr>
          <w:rFonts w:ascii="黑体" w:hAnsi="黑体" w:eastAsia="黑体"/>
          <w:b/>
          <w:sz w:val="20"/>
        </w:rPr>
        <w:t>表2 主要文本变量定义与分类边界</w:t>
      </w:r>
    </w:p>
    <w:tbl>
      <w:tblPr>
        <w:tblW w:type="pct" w:w="5000"/>
        <w:jc w:val="center"/>
        <w:tblLayout w:type="autofit"/>
        <w:tblLook w:firstColumn="1" w:firstRow="1" w:lastColumn="0" w:lastRow="0" w:noHBand="0" w:noVBand="1" w:val="04A0"/>
      </w:tblPr>
      <w:tblGrid>
        <w:gridCol w:w="2268"/>
        <w:gridCol w:w="2268"/>
        <w:gridCol w:w="2268"/>
        <w:gridCol w:w="2268"/>
      </w:tblGrid>
      <w:tr>
        <w:trPr>
          <w:tblHeader w:val="true"/>
          <w:cantSplit/>
          <w:tblHeader w:val="true"/>
          <w:cantSplit/>
        </w:trPr>
        <w:tc>
          <w:tcPr>
            <w:tcW w:type="dxa" w:w="187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变量</w:t>
            </w:r>
          </w:p>
        </w:tc>
        <w:tc>
          <w:tcPr>
            <w:tcW w:type="dxa" w:w="317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定义</w:t>
            </w:r>
          </w:p>
        </w:tc>
        <w:tc>
          <w:tcPr>
            <w:tcW w:type="dxa" w:w="3288"/>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典型内容</w:t>
            </w:r>
          </w:p>
        </w:tc>
        <w:tc>
          <w:tcPr>
            <w:tcW w:type="dxa" w:w="204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解释边界</w:t>
            </w:r>
          </w:p>
        </w:tc>
      </w:tr>
      <w:tr>
        <w:trPr>
          <w:cantSplit/>
        </w:trPr>
        <w:tc>
          <w:tcPr>
            <w:tcW w:type="dxa" w:w="187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BMIDisclosure</w:t>
            </w:r>
          </w:p>
        </w:tc>
        <w:tc>
          <w:tcPr>
            <w:tcW w:type="dxa" w:w="317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BMI实质性数字句/年报有效句子总数</w:t>
            </w:r>
          </w:p>
        </w:tc>
        <w:tc>
          <w:tcPr>
            <w:tcW w:type="dxa" w:w="328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平台、线上渠道、数字服务、订阅、生态系统、智能或连接型产品</w:t>
            </w:r>
          </w:p>
        </w:tc>
        <w:tc>
          <w:tcPr>
            <w:tcW w:type="dxa" w:w="204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测量公开披露，不等于项目完成</w:t>
            </w:r>
          </w:p>
        </w:tc>
      </w:tr>
      <w:tr>
        <w:trPr>
          <w:cantSplit/>
        </w:trPr>
        <w:tc>
          <w:tcPr>
            <w:tcW w:type="dxa" w:w="187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NonBMIDisclosure</w:t>
            </w:r>
          </w:p>
        </w:tc>
        <w:tc>
          <w:tcPr>
            <w:tcW w:type="dxa" w:w="317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其他实质性数字句/年报有效句子总数</w:t>
            </w:r>
          </w:p>
        </w:tc>
        <w:tc>
          <w:tcPr>
            <w:tcW w:type="dxa" w:w="328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系统升级、IT基础设施、设备自动化、一般内部技术应用</w:t>
            </w:r>
          </w:p>
        </w:tc>
        <w:tc>
          <w:tcPr>
            <w:tcW w:type="dxa" w:w="204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并不表示该类行动没有价值</w:t>
            </w:r>
          </w:p>
        </w:tc>
      </w:tr>
      <w:tr>
        <w:trPr>
          <w:cantSplit/>
        </w:trPr>
        <w:tc>
          <w:tcPr>
            <w:tcW w:type="dxa" w:w="187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TotalDigital</w:t>
            </w:r>
          </w:p>
        </w:tc>
        <w:tc>
          <w:tcPr>
            <w:tcW w:type="dxa" w:w="317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全部实质性数字句/年报有效句子总数</w:t>
            </w:r>
          </w:p>
        </w:tc>
        <w:tc>
          <w:tcPr>
            <w:tcW w:type="dxa" w:w="328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BMIDisclosure与NonBMIDisclosure之和</w:t>
            </w:r>
          </w:p>
        </w:tc>
        <w:tc>
          <w:tcPr>
            <w:tcW w:type="dxa" w:w="204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反映总量，不区分内容类型</w:t>
            </w:r>
          </w:p>
        </w:tc>
      </w:tr>
      <w:tr>
        <w:trPr>
          <w:cantSplit/>
        </w:trPr>
        <w:tc>
          <w:tcPr>
            <w:tcW w:type="dxa" w:w="1871"/>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BMIShare</w:t>
            </w:r>
          </w:p>
        </w:tc>
        <w:tc>
          <w:tcPr>
            <w:tcW w:type="dxa" w:w="3175"/>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BMI句/全部实质性数字句</w:t>
            </w:r>
          </w:p>
        </w:tc>
        <w:tc>
          <w:tcPr>
            <w:tcW w:type="dxa" w:w="3288"/>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实质性数字披露中的BMI构成</w:t>
            </w:r>
          </w:p>
        </w:tc>
        <w:tc>
          <w:tcPr>
            <w:tcW w:type="dxa" w:w="204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无实质数字句时全样本设为0，并另做正披露样本检验</w:t>
            </w:r>
          </w:p>
        </w:tc>
      </w:tr>
    </w:tbl>
    <w:p>
      <w:pPr>
        <w:keepNext w:val="0"/>
        <w:keepLines w:val="0"/>
        <w:widowControl/>
        <w:spacing w:before="120" w:after="120"/>
        <w:ind w:firstLine="0"/>
        <w:jc w:val="center"/>
      </w:pPr>
      <m:oMath>
        <m:sSub>
          <m:e>
            <m:r>
              <m:rPr>
                <m:sty m:val="p"/>
              </m:rPr>
              <m:t>BMIDisclosure</m:t>
            </m:r>
          </m:e>
          <m:sub>
            <m:r>
              <m:rPr>
                <m:sty m:val="p"/>
              </m:rPr>
              <m:t>i,t</m:t>
            </m:r>
          </m:sub>
        </m:sSub>
        <m:r>
          <m:rPr>
            <m:sty m:val="p"/>
          </m:rPr>
          <m:t> = </m:t>
        </m:r>
        <m:f>
          <m:num>
            <m:r>
              <m:rPr>
                <m:sty m:val="p"/>
              </m:rPr>
              <m:t>BMI substantive digital sentences i,t</m:t>
            </m:r>
          </m:num>
          <m:den>
            <m:r>
              <m:rPr>
                <m:sty m:val="p"/>
              </m:rPr>
              <m:t>Total valid sentences i,t</m:t>
            </m:r>
          </m:den>
        </m:f>
      </m:oMath>
      <w:r>
        <w:rPr>
          <w:rFonts w:ascii="Cambria Math" w:hAnsi="Cambria Math"/>
          <w:sz w:val="21"/>
        </w:rPr>
        <w:t xml:space="preserve">    (1)</w:t>
      </w:r>
    </w:p>
    <w:p>
      <w:pPr>
        <w:keepNext w:val="0"/>
        <w:keepLines w:val="0"/>
        <w:widowControl/>
        <w:spacing w:before="120" w:after="120"/>
        <w:ind w:firstLine="0"/>
        <w:jc w:val="center"/>
      </w:pPr>
      <m:oMath>
        <m:sSub>
          <m:e>
            <m:r>
              <m:rPr>
                <m:sty m:val="p"/>
              </m:rPr>
              <m:t>NonBMIDisclosure</m:t>
            </m:r>
          </m:e>
          <m:sub>
            <m:r>
              <m:rPr>
                <m:sty m:val="p"/>
              </m:rPr>
              <m:t>i,t</m:t>
            </m:r>
          </m:sub>
        </m:sSub>
        <m:r>
          <m:rPr>
            <m:sty m:val="p"/>
          </m:rPr>
          <m:t> = </m:t>
        </m:r>
        <m:f>
          <m:num>
            <m:r>
              <m:rPr>
                <m:sty m:val="p"/>
              </m:rPr>
              <m:t>NonBMI substantive digital sentences i,t</m:t>
            </m:r>
          </m:num>
          <m:den>
            <m:r>
              <m:rPr>
                <m:sty m:val="p"/>
              </m:rPr>
              <m:t>Total valid sentences i,t</m:t>
            </m:r>
          </m:den>
        </m:f>
      </m:oMath>
      <w:r>
        <w:rPr>
          <w:rFonts w:ascii="Cambria Math" w:hAnsi="Cambria Math"/>
          <w:sz w:val="21"/>
        </w:rPr>
        <w:t xml:space="preserve">    (2)</w:t>
      </w:r>
    </w:p>
    <w:p>
      <w:pPr>
        <w:keepNext w:val="0"/>
        <w:keepLines w:val="0"/>
        <w:widowControl/>
        <w:spacing w:before="120" w:after="120"/>
        <w:ind w:firstLine="0"/>
        <w:jc w:val="center"/>
      </w:pPr>
      <m:oMath>
        <m:sSub>
          <m:e>
            <m:r>
              <m:rPr>
                <m:sty m:val="p"/>
              </m:rPr>
              <m:t>TotalDigital</m:t>
            </m:r>
          </m:e>
          <m:sub>
            <m:r>
              <m:rPr>
                <m:sty m:val="p"/>
              </m:rPr>
              <m:t>i,t</m:t>
            </m:r>
          </m:sub>
        </m:sSub>
        <m:r>
          <m:rPr>
            <m:sty m:val="p"/>
          </m:rPr>
          <m:t> = </m:t>
        </m:r>
        <m:sSub>
          <m:e>
            <m:r>
              <m:rPr>
                <m:sty m:val="p"/>
              </m:rPr>
              <m:t>BMIDisclosure</m:t>
            </m:r>
          </m:e>
          <m:sub>
            <m:r>
              <m:rPr>
                <m:sty m:val="p"/>
              </m:rPr>
              <m:t>i,t</m:t>
            </m:r>
          </m:sub>
        </m:sSub>
        <m:r>
          <m:rPr>
            <m:sty m:val="p"/>
          </m:rPr>
          <m:t> + </m:t>
        </m:r>
        <m:sSub>
          <m:e>
            <m:r>
              <m:rPr>
                <m:sty m:val="p"/>
              </m:rPr>
              <m:t>NonBMIDisclosure</m:t>
            </m:r>
          </m:e>
          <m:sub>
            <m:r>
              <m:rPr>
                <m:sty m:val="p"/>
              </m:rPr>
              <m:t>i,t</m:t>
            </m:r>
          </m:sub>
        </m:sSub>
      </m:oMath>
      <w:r>
        <w:rPr>
          <w:rFonts w:ascii="Cambria Math" w:hAnsi="Cambria Math"/>
          <w:sz w:val="21"/>
        </w:rPr>
        <w:t xml:space="preserve">    (3)</w:t>
      </w:r>
    </w:p>
    <w:p>
      <w:pPr>
        <w:keepNext w:val="0"/>
        <w:keepLines w:val="0"/>
        <w:widowControl/>
        <w:spacing w:before="120" w:after="120"/>
        <w:ind w:firstLine="0"/>
        <w:jc w:val="center"/>
      </w:pPr>
      <m:oMath>
        <m:sSub>
          <m:e>
            <m:r>
              <m:rPr>
                <m:sty m:val="p"/>
              </m:rPr>
              <m:t>BMIShare</m:t>
            </m:r>
          </m:e>
          <m:sub>
            <m:r>
              <m:rPr>
                <m:sty m:val="p"/>
              </m:rPr>
              <m:t>i,t</m:t>
            </m:r>
          </m:sub>
        </m:sSub>
        <m:r>
          <m:rPr>
            <m:sty m:val="p"/>
          </m:rPr>
          <m:t> = </m:t>
        </m:r>
        <m:f>
          <m:num>
            <m:r>
              <m:rPr>
                <m:sty m:val="p"/>
              </m:rPr>
              <m:t>BMI sentences i,t</m:t>
            </m:r>
          </m:num>
          <m:den>
            <m:r>
              <m:rPr>
                <m:sty m:val="p"/>
              </m:rPr>
              <m:t>D i,t</m:t>
            </m:r>
          </m:den>
        </m:f>
        <m:r>
          <m:rPr>
            <m:sty m:val="p"/>
          </m:rPr>
          <m:t>,  D i,t &gt; 0;     0,  D i,t = 0</m:t>
        </m:r>
      </m:oMath>
      <w:r>
        <w:rPr>
          <w:rFonts w:ascii="Cambria Math" w:hAnsi="Cambria Math"/>
          <w:sz w:val="21"/>
        </w:rPr>
        <w:t xml:space="preserve">    (4)</w:t>
      </w:r>
    </w:p>
    <w:p>
      <w:pPr>
        <w:keepNext w:val="0"/>
        <w:keepLines w:val="0"/>
        <w:widowControl/>
        <w:jc w:val="both"/>
      </w:pPr>
      <w:r>
        <w:t>四项文本变量均从公司年度层面的原始句子计数构造。式（4）中的D表示BMI句数与NonBMI句数之和。BMIShare采用分段定义：D大于0时，取BMI句数占全部实质性数字句子的比例；D等于0时记为0，并另在正披露样本中检验。该0值表示当年没有可用于计算构成比例的实质性数字披露，不表示企业的真实BMI程度为0。</w:t>
      </w:r>
    </w:p>
    <w:p>
      <w:pPr>
        <w:keepNext w:val="0"/>
        <w:keepLines w:val="0"/>
        <w:widowControl/>
        <w:jc w:val="both"/>
      </w:pPr>
      <w:r>
        <w:t>附录表A1列出来自DART韩文年报、隐去公司名称的真实句子。实例只用于说明分类边界，不用于替代准确率或一致性检验。</w:t>
      </w:r>
    </w:p>
    <w:p>
      <w:pPr>
        <w:pStyle w:val="Heading2"/>
        <w:keepNext/>
        <w:keepLines/>
        <w:widowControl/>
      </w:pPr>
      <w:r>
        <w:rPr>
          <w:color w:val="000000"/>
        </w:rPr>
        <w:t>3.3 测量复核与限制</w:t>
      </w:r>
    </w:p>
    <w:p>
      <w:pPr>
        <w:keepNext w:val="0"/>
        <w:keepLines w:val="0"/>
        <w:widowControl/>
        <w:jc w:val="both"/>
      </w:pPr>
      <w:r>
        <w:t>自动规则先生成候选句及初步类别。规则开发阶段按照固定顺序反复检查边界案例：先确认公司行动主体，再确认经营用途，最后判断是否直接涉及价值创造、价值交付或价值获取。只有技术名词而没有公司行动的句子被删除；属于实质行动但不涉及客户、产品、渠道、服务或收入安排的句子归入NonBMI。</w:t>
      </w:r>
    </w:p>
    <w:p>
      <w:pPr>
        <w:keepNext w:val="0"/>
        <w:keepLines w:val="0"/>
        <w:widowControl/>
        <w:jc w:val="both"/>
      </w:pPr>
      <w:r>
        <w:t>研究保留了最终句子标签和公司年度汇总结果，但没有完整记录每轮复核前后的版本，也没有第二名独立编码者。因而，本文不构造事后混淆矩阵，不报告准确率、精确率、召回率、F1或编码者一致性系数。同一研究者按固定规则反复检查候选句和边界案例，只能提高口径的一致性，不能排除复杂语义、否定表达、时态判断以及文本版本差异造成的测量误差。</w:t>
      </w:r>
    </w:p>
    <w:p>
      <w:pPr>
        <w:pStyle w:val="Heading2"/>
        <w:keepNext/>
        <w:keepLines/>
        <w:widowControl/>
      </w:pPr>
      <w:r>
        <w:rPr>
          <w:color w:val="000000"/>
        </w:rPr>
        <w:t>3.4 财务变量与描述性统计</w:t>
      </w:r>
    </w:p>
    <w:p>
      <w:pPr>
        <w:keepNext w:val="0"/>
        <w:keepLines w:val="0"/>
        <w:widowControl/>
        <w:jc w:val="both"/>
      </w:pPr>
      <w:r>
        <w:t>主因变量AssetTurnover(t+2)为t+2销售额除以t+2平均总资产。该指标衡量单位资产支持销售的能力，与平台、渠道和数字服务可能对应的销售扩展相衔接，但不能直接代表利润、现金流或企业价值。按照IAS 38，部分研究支出和不满足资本化条件的内部开发投入计入当期费用（International Accounting Standards Board, n.d.），账面资产可能不能完整反映数字资源，因此资产周转率结果仍存在会计确认边界。</w:t>
      </w:r>
    </w:p>
    <w:p>
      <w:pPr>
        <w:keepNext w:val="0"/>
        <w:keepLines w:val="0"/>
        <w:widowControl/>
        <w:jc w:val="both"/>
      </w:pPr>
      <w:r>
        <w:t>商业模式相关行动通常需要经历开发、上线、客户采用和组织配合，其经营表现未必在报告当年出现，因此两年窗口在事后解释上具有合理性。不过，t+2并非事前注册的唯一窗口，而是探索后保留的焦点时点。后文同时报告t−2至t+3及共同样本结果，主估计应与整组时点证据一起理解。</w:t>
      </w:r>
    </w:p>
    <w:p>
      <w:pPr>
        <w:keepNext w:val="0"/>
        <w:keepLines w:val="0"/>
        <w:widowControl/>
        <w:jc w:val="both"/>
      </w:pPr>
      <w:r>
        <w:t>控制变量用于减少披露和未来资产使用效率之间的可观察混杂。基期资产周转率控制资产使用效率惯性；规模、杠杆和流动性反映资源条件与融资约束；ROA、营业利润率、销售增长和亏损状态反映当期经营状况；公司年龄控制生命周期差异；报告篇幅控制长报告机械产生更多候选句的可能；年度股票收益和波动率则反映同期市场表现与风险。变量是否保留由理论和数据覆盖决定，不根据单个p值筛选。</w:t>
      </w:r>
    </w:p>
    <w:p>
      <w:pPr>
        <w:keepNext/>
        <w:keepLines w:val="0"/>
        <w:widowControl/>
        <w:spacing w:before="140" w:after="60"/>
        <w:ind w:firstLine="0"/>
        <w:jc w:val="center"/>
      </w:pPr>
      <w:r>
        <w:rPr>
          <w:rFonts w:ascii="黑体" w:hAnsi="黑体" w:eastAsia="黑体"/>
          <w:b/>
          <w:sz w:val="20"/>
        </w:rPr>
        <w:t>表3 财务变量定义与控制理由</w:t>
      </w:r>
    </w:p>
    <w:tbl>
      <w:tblPr>
        <w:tblW w:type="pct" w:w="5000"/>
        <w:jc w:val="center"/>
        <w:tblLayout w:type="autofit"/>
        <w:tblLook w:firstColumn="1" w:firstRow="1" w:lastColumn="0" w:lastRow="0" w:noHBand="0" w:noVBand="1" w:val="04A0"/>
      </w:tblPr>
      <w:tblGrid>
        <w:gridCol w:w="3024"/>
        <w:gridCol w:w="3024"/>
        <w:gridCol w:w="3024"/>
      </w:tblGrid>
      <w:tr>
        <w:trPr>
          <w:tblHeader w:val="true"/>
          <w:cantSplit/>
          <w:tblHeader w:val="true"/>
          <w:cantSplit/>
        </w:trPr>
        <w:tc>
          <w:tcPr>
            <w:tcW w:type="dxa" w:w="249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变量</w:t>
            </w:r>
          </w:p>
        </w:tc>
        <w:tc>
          <w:tcPr>
            <w:tcW w:type="dxa" w:w="3628"/>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取值或定义</w:t>
            </w:r>
          </w:p>
        </w:tc>
        <w:tc>
          <w:tcPr>
            <w:tcW w:type="dxa" w:w="3969"/>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纳入理由</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AssetTurnover(t)</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t期销售额/平均总资产</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控制资产使用效率惯性</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公司规模</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总资产自然对数</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控制资源规模和组织复杂度</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杠杆率</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负债相对总资产</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控制财务风险和融资约束</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ROA</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净利润/平均总资产</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控制基期盈利状态</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销售增长</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销售额年度增长率</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控制既有需求和扩张趋势</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流动性</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流动资产相对流动负债</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控制短期偿付能力</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营业利润率</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营业利润/销售额</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控制主营业务盈利质量</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公司年龄</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公司年龄的自然对数</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控制生命周期差异</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亏损与负权益</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二元变量</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控制财务困境状态</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年报篇幅</w:t>
            </w:r>
          </w:p>
        </w:tc>
        <w:tc>
          <w:tcPr>
            <w:tcW w:type="dxa" w:w="36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有效句子数的自然对数</w:t>
            </w:r>
          </w:p>
        </w:tc>
        <w:tc>
          <w:tcPr>
            <w:tcW w:type="dxa" w:w="3969"/>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控制文本长度</w:t>
            </w:r>
          </w:p>
        </w:tc>
      </w:tr>
      <w:tr>
        <w:trPr>
          <w:cantSplit/>
        </w:trPr>
        <w:tc>
          <w:tcPr>
            <w:tcW w:type="dxa" w:w="2494"/>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股票收益与波动率</w:t>
            </w:r>
          </w:p>
        </w:tc>
        <w:tc>
          <w:tcPr>
            <w:tcW w:type="dxa" w:w="3628"/>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财政年度收益率和日收益波动</w:t>
            </w:r>
          </w:p>
        </w:tc>
        <w:tc>
          <w:tcPr>
            <w:tcW w:type="dxa" w:w="3969"/>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控制同期市场表现和风险</w:t>
            </w:r>
          </w:p>
        </w:tc>
      </w:tr>
    </w:tbl>
    <w:p>
      <w:pPr>
        <w:pStyle w:val="TableNote"/>
        <w:widowControl/>
      </w:pPr>
      <w:r>
        <w:rPr>
          <w:b/>
        </w:rPr>
        <w:t>注：</w:t>
      </w:r>
      <w:r>
        <w:t>连续财务变量按预定的1%和99%分位进行缩尾。控制变量根据潜在混杂关系选择，不依据其个别p值增减。</w:t>
      </w:r>
    </w:p>
    <w:p>
      <w:pPr>
        <w:keepNext/>
        <w:keepLines w:val="0"/>
        <w:widowControl/>
        <w:spacing w:before="140" w:after="60"/>
        <w:ind w:firstLine="0"/>
        <w:jc w:val="center"/>
      </w:pPr>
      <w:r>
        <w:rPr>
          <w:rFonts w:ascii="黑体" w:hAnsi="黑体" w:eastAsia="黑体"/>
          <w:b/>
          <w:sz w:val="20"/>
        </w:rPr>
        <w:t>表4 主回归样本描述性统计</w:t>
      </w:r>
    </w:p>
    <w:tbl>
      <w:tblPr>
        <w:tblW w:type="pct" w:w="5000"/>
        <w:jc w:val="center"/>
        <w:tblLayout w:type="autofit"/>
        <w:tblLook w:firstColumn="1" w:firstRow="1" w:lastColumn="0" w:lastRow="0" w:noHBand="0" w:noVBand="1" w:val="04A0"/>
      </w:tblPr>
      <w:tblGrid>
        <w:gridCol w:w="1296"/>
        <w:gridCol w:w="1296"/>
        <w:gridCol w:w="1296"/>
        <w:gridCol w:w="1296"/>
        <w:gridCol w:w="1296"/>
        <w:gridCol w:w="1296"/>
        <w:gridCol w:w="1296"/>
      </w:tblGrid>
      <w:tr>
        <w:trPr>
          <w:tblHeader w:val="true"/>
          <w:cantSplit/>
          <w:tblHeader w:val="true"/>
          <w:cantSplit/>
        </w:trPr>
        <w:tc>
          <w:tcPr>
            <w:tcW w:type="dxa" w:w="249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变量</w:t>
            </w:r>
          </w:p>
        </w:tc>
        <w:tc>
          <w:tcPr>
            <w:tcW w:type="dxa" w:w="130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N</w:t>
            </w:r>
          </w:p>
        </w:tc>
        <w:tc>
          <w:tcPr>
            <w:tcW w:type="dxa" w:w="141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均值</w:t>
            </w:r>
          </w:p>
        </w:tc>
        <w:tc>
          <w:tcPr>
            <w:tcW w:type="dxa" w:w="141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标准差</w:t>
            </w:r>
          </w:p>
        </w:tc>
        <w:tc>
          <w:tcPr>
            <w:tcW w:type="dxa" w:w="124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P25</w:t>
            </w:r>
          </w:p>
        </w:tc>
        <w:tc>
          <w:tcPr>
            <w:tcW w:type="dxa" w:w="124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中位数</w:t>
            </w:r>
          </w:p>
        </w:tc>
        <w:tc>
          <w:tcPr>
            <w:tcW w:type="dxa" w:w="124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P75</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资产周转率(t+2)</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0.799059</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0.478771</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0.460250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0.719768</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1.051172</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BMIDisclosure</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0.000756</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0.001816</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0.000803</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NonBMIDisclosure</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0.000753</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0.001756</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0.000904</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TotalDigital</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0.001509</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0.003065</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0.001630</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BMIShare</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0.207592</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0.360690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0.333333</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公司规模</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26.183518</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1.423221</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25.223014</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25.942580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26.905116</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杠杆率</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0.414393</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0.206027</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0.245600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0.410228</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0.569351</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ROA</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0.001984</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0.115157</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-0.022465</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0.021770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0.059373</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销售增长</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0.103341</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0.390995</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-0.069782</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0.049273</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0.186648</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流动性</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2.695788</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3.152707</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1.057880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1.633629</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2.904143</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营业利润率</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-0.040422</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0.497618</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-0.007121</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0.035554</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0.082974</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公司年龄(ln)</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3.259367</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0.648620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2.944439</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3.295837</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3.761200</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亏损</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0.330758</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0.470503</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1.000000</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负权益</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0.001860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0.043087</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年报篇幅(ln)</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6.956642</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0.289092</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6.779922</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6.947937</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7.119636</w:t>
            </w:r>
          </w:p>
        </w:tc>
      </w:tr>
      <w:tr>
        <w:trPr>
          <w:cantSplit/>
        </w:trPr>
        <w:tc>
          <w:tcPr>
            <w:tcW w:type="dxa" w:w="2494"/>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年度股票收益</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0.061713</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0.526918</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-0.239878</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-0.046698</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0.193240</w:t>
            </w:r>
          </w:p>
        </w:tc>
      </w:tr>
      <w:tr>
        <w:trPr>
          <w:cantSplit/>
        </w:trPr>
        <w:tc>
          <w:tcPr>
            <w:tcW w:type="dxa" w:w="2494"/>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6"/>
              </w:rPr>
              <w:t>年度日收益波动率</w:t>
            </w:r>
          </w:p>
        </w:tc>
        <w:tc>
          <w:tcPr>
            <w:tcW w:type="dxa" w:w="130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41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0.030884</w:t>
            </w:r>
          </w:p>
        </w:tc>
        <w:tc>
          <w:tcPr>
            <w:tcW w:type="dxa" w:w="141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0.012491</w:t>
            </w:r>
          </w:p>
        </w:tc>
        <w:tc>
          <w:tcPr>
            <w:tcW w:type="dxa" w:w="124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0.022098</w:t>
            </w:r>
          </w:p>
        </w:tc>
        <w:tc>
          <w:tcPr>
            <w:tcW w:type="dxa" w:w="124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0.029381</w:t>
            </w:r>
          </w:p>
        </w:tc>
        <w:tc>
          <w:tcPr>
            <w:tcW w:type="dxa" w:w="124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0.038197</w:t>
            </w:r>
          </w:p>
        </w:tc>
      </w:tr>
    </w:tbl>
    <w:p>
      <w:pPr>
        <w:keepNext w:val="0"/>
        <w:keepLines w:val="0"/>
        <w:widowControl/>
        <w:jc w:val="both"/>
      </w:pPr>
      <w:r>
        <w:t>主回归样本中，BMIDisclosure均值为0.000756，即有效句子中的平均占比约为0.076%；标准差为0.001816，零值比例为71.4%。冻结基础面板中的相应均值、标准差和零值比例分别为0.000922、0.002111和68.2%。两组数字对应不同样本，后续回归和经济量级解释会分别注明所用口径。</w:t>
      </w:r>
    </w:p>
    <w:p>
      <w:pPr>
        <w:keepNext w:val="0"/>
        <w:keepLines w:val="0"/>
        <w:widowControl/>
        <w:jc w:val="both"/>
      </w:pPr>
      <w:r>
        <w:t>BMIDisclosure在两个样本中的中位数均为0。主回归样本有71.4%的公司年度没有识别出BMI句子，因而第50百分位落在0；其余公司年度存在正值，所以总体均值仍高于0。这个分布明显右偏，也说明回归结果同时受到是否出现BMI披露和正值样本内披露强度的影响。第五节因此分别报告广延边际和集约边际。</w:t>
      </w:r>
    </w:p>
    <w:p>
      <w:pPr>
        <w:keepNext w:val="0"/>
        <w:keepLines w:val="0"/>
        <w:widowControl/>
        <w:spacing w:line="360" w:lineRule="auto" w:after="120"/>
        <w:ind w:firstLine="420"/>
      </w:pPr>
      <w:r>
        <w:rPr>
          <w:rFonts w:ascii="宋体" w:hAnsi="宋体" w:eastAsia="宋体"/>
          <w:b w:val="0"/>
          <w:color w:val="000000"/>
          <w:sz w:val="21"/>
        </w:rPr>
        <w:t>在进入回归分析前，图1和图2展示解释变量在冻结基础面板中的年度分布。实质性数字披露强度从2015年的每千句1.22句提高到2025年的2.51句，商业模式导向型数字披露由每千句0.62句提高到1.25句。</w:t>
      </w:r>
    </w:p>
    <w:p>
      <w:pPr>
        <w:keepNext w:val="0"/>
        <w:keepLines w:val="0"/>
        <w:spacing w:before="80" w:after="40"/>
        <w:jc w:val="center"/>
      </w:pPr>
      <w:r>
        <w:drawing>
          <wp:inline xmlns:a="http://schemas.openxmlformats.org/drawingml/2006/main" xmlns:pic="http://schemas.openxmlformats.org/drawingml/2006/picture">
            <wp:extent cx="5472000" cy="2238545"/>
            <wp:docPr id="1" name="Picture 1"/>
            <wp:cNvGraphicFramePr>
              <a:graphicFrameLocks noChangeAspect="1"/>
            </wp:cNvGraphicFramePr>
            <a:graphic>
              <a:graphicData uri="http://schemas.openxmlformats.org/drawingml/2006/picture">
                <pic:pic>
                  <pic:nvPicPr>
                    <pic:cNvPr id="0" name="figure_1_disclosure_intensity.png"/>
                    <pic:cNvPicPr/>
                  </pic:nvPicPr>
                  <pic:blipFill>
                    <a:blip r:embed="rId10"/>
                    <a:stretch>
                      <a:fillRect/>
                    </a:stretch>
                  </pic:blipFill>
                  <pic:spPr>
                    <a:xfrm>
                      <a:off x="0" y="0"/>
                      <a:ext cx="5472000" cy="2238545"/>
                    </a:xfrm>
                    <a:prstGeom prst="rect"/>
                  </pic:spPr>
                </pic:pic>
              </a:graphicData>
            </a:graphic>
          </wp:inline>
        </w:drawing>
      </w:r>
    </w:p>
    <w:p>
      <w:pPr>
        <w:keepNext/>
        <w:keepLines w:val="0"/>
        <w:widowControl/>
        <w:spacing w:before="0" w:after="120"/>
        <w:jc w:val="center"/>
      </w:pPr>
      <w:r>
        <w:rPr>
          <w:rFonts w:ascii="宋体" w:hAnsi="宋体" w:eastAsia="宋体"/>
          <w:b/>
          <w:color w:val="000000"/>
          <w:sz w:val="19"/>
        </w:rPr>
        <w:t>图1 2015—2025年实质性数字披露强度的年度变化</w:t>
      </w:r>
    </w:p>
    <w:p>
      <w:pPr>
        <w:keepNext w:val="0"/>
        <w:keepLines w:val="0"/>
        <w:spacing w:before="80" w:after="40"/>
        <w:jc w:val="center"/>
      </w:pPr>
      <w:r>
        <w:drawing>
          <wp:inline xmlns:a="http://schemas.openxmlformats.org/drawingml/2006/main" xmlns:pic="http://schemas.openxmlformats.org/drawingml/2006/picture">
            <wp:extent cx="5472000" cy="2238545"/>
            <wp:docPr id="2" name="Picture 2"/>
            <wp:cNvGraphicFramePr>
              <a:graphicFrameLocks noChangeAspect="1"/>
            </wp:cNvGraphicFramePr>
            <a:graphic>
              <a:graphicData uri="http://schemas.openxmlformats.org/drawingml/2006/picture">
                <pic:pic>
                  <pic:nvPicPr>
                    <pic:cNvPr id="0" name="figure_2_disclosure_coverage.png"/>
                    <pic:cNvPicPr/>
                  </pic:nvPicPr>
                  <pic:blipFill>
                    <a:blip r:embed="rId11"/>
                    <a:stretch>
                      <a:fillRect/>
                    </a:stretch>
                  </pic:blipFill>
                  <pic:spPr>
                    <a:xfrm>
                      <a:off x="0" y="0"/>
                      <a:ext cx="5472000" cy="2238545"/>
                    </a:xfrm>
                    <a:prstGeom prst="rect"/>
                  </pic:spPr>
                </pic:pic>
              </a:graphicData>
            </a:graphic>
          </wp:inline>
        </w:drawing>
      </w:r>
    </w:p>
    <w:p>
      <w:pPr>
        <w:keepNext/>
        <w:keepLines w:val="0"/>
        <w:widowControl/>
        <w:spacing w:before="0" w:after="120"/>
        <w:jc w:val="center"/>
      </w:pPr>
      <w:r>
        <w:rPr>
          <w:rFonts w:ascii="宋体" w:hAnsi="宋体" w:eastAsia="宋体"/>
          <w:b/>
          <w:color w:val="000000"/>
          <w:sz w:val="19"/>
        </w:rPr>
        <w:t>图2 2015—2025年实质性数字披露覆盖面的年度变化</w:t>
      </w:r>
    </w:p>
    <w:p>
      <w:pPr>
        <w:keepNext/>
        <w:keepLines w:val="0"/>
        <w:widowControl/>
        <w:spacing w:line="360" w:lineRule="auto" w:after="120"/>
        <w:ind w:firstLine="420"/>
        <w:jc w:val="center"/>
      </w:pPr>
      <w:r>
        <w:rPr>
          <w:rFonts w:ascii="宋体" w:hAnsi="宋体" w:eastAsia="宋体"/>
          <w:b/>
          <w:color w:val="000000"/>
          <w:sz w:val="21"/>
        </w:rPr>
        <w:t>图2进一步显示，至少识别出1句实质性数字披露的公司年度占比由34.2%升至59.1%，至少识别出1句商业模式导向型披露的占比由20.2%升至42.0%。两类指标在样本期内均逐年提高，说明数字行动披露的强度和覆盖面持续扩大。不过，年度均值还可能受到上市公司构成和共同披露环境变化的影响，不能据此直接认定每家企业的真实数字化实施程度都持续上升。</w:t>
      </w:r>
    </w:p>
    <w:p>
      <w:pPr>
        <w:keepNext w:val="0"/>
        <w:keepLines w:val="0"/>
        <w:widowControl/>
        <w:spacing w:line="288" w:lineRule="auto" w:after="160"/>
        <w:ind w:firstLine="0"/>
      </w:pPr>
      <w:r>
        <w:rPr>
          <w:rFonts w:ascii="宋体" w:hAnsi="宋体" w:eastAsia="宋体"/>
          <w:b w:val="0"/>
          <w:color w:val="000000"/>
          <w:sz w:val="18"/>
        </w:rPr>
        <w:t>注：图1为公司年度披露比率乘以1,000后的年度均值；图2为当年至少识别出1个相应句子的公司年度占比。样本为2015—2025年冻结基础面板的22,654个公司年度。数据来源：DART/OpenDART韩文年报。</w:t>
      </w:r>
    </w:p>
    <w:p>
      <w:pPr>
        <w:pStyle w:val="Heading1"/>
        <w:keepNext/>
        <w:keepLines/>
        <w:pageBreakBefore w:val="0"/>
        <w:widowControl/>
      </w:pPr>
      <w:r>
        <w:rPr>
          <w:color w:val="000000"/>
        </w:rPr>
        <w:t>4 实证模型与识别限制</w:t>
      </w:r>
    </w:p>
    <w:p>
      <w:pPr>
        <w:keepNext w:val="0"/>
        <w:keepLines w:val="0"/>
        <w:widowControl/>
        <w:spacing w:before="120" w:after="120"/>
        <w:ind w:firstLine="0"/>
        <w:jc w:val="center"/>
      </w:pPr>
      <m:oMath>
        <m:sSub>
          <m:e>
            <m:r>
              <m:rPr>
                <m:sty m:val="p"/>
              </m:rPr>
              <m:t>AssetTurnover</m:t>
            </m:r>
          </m:e>
          <m:sub>
            <m:r>
              <m:rPr>
                <m:sty m:val="p"/>
              </m:rPr>
              <m:t>i,t+2</m:t>
            </m:r>
          </m:sub>
        </m:sSub>
        <m:r>
          <m:rPr>
            <m:sty m:val="p"/>
          </m:rPr>
          <m:t> = β </m:t>
        </m:r>
        <m:sSub>
          <m:e>
            <m:r>
              <m:rPr>
                <m:sty m:val="p"/>
              </m:rPr>
              <m:t>BMIDisclosure</m:t>
            </m:r>
          </m:e>
          <m:sub>
            <m:r>
              <m:rPr>
                <m:sty m:val="p"/>
              </m:rPr>
              <m:t>i,t</m:t>
            </m:r>
          </m:sub>
        </m:sSub>
        <m:r>
          <m:rPr>
            <m:sty m:val="p"/>
          </m:rPr>
          <m:t> + δ </m:t>
        </m:r>
        <m:sSub>
          <m:e>
            <m:r>
              <m:rPr>
                <m:sty m:val="p"/>
              </m:rPr>
              <m:t>AssetTurnover</m:t>
            </m:r>
          </m:e>
          <m:sub>
            <m:r>
              <m:rPr>
                <m:sty m:val="p"/>
              </m:rPr>
              <m:t>i,t</m:t>
            </m:r>
          </m:sub>
        </m:sSub>
        <m:r>
          <m:rPr>
            <m:sty m:val="p"/>
          </m:rPr>
          <m:t> + γ′ </m:t>
        </m:r>
        <m:sSub>
          <m:e>
            <m:r>
              <m:rPr>
                <m:sty m:val="p"/>
              </m:rPr>
              <m:t>Controls</m:t>
            </m:r>
          </m:e>
          <m:sub>
            <m:r>
              <m:rPr>
                <m:sty m:val="p"/>
              </m:rPr>
              <m:t>i,t</m:t>
            </m:r>
          </m:sub>
        </m:sSub>
        <m:r>
          <m:rPr>
            <m:sty m:val="p"/>
          </m:rPr>
          <m:t> + </m:t>
        </m:r>
        <m:sSub>
          <m:e>
            <m:r>
              <m:rPr>
                <m:sty m:val="p"/>
              </m:rPr>
              <m:t>μ</m:t>
            </m:r>
          </m:e>
          <m:sub>
            <m:r>
              <m:rPr>
                <m:sty m:val="p"/>
              </m:rPr>
              <m:t>i</m:t>
            </m:r>
          </m:sub>
        </m:sSub>
        <m:r>
          <m:rPr>
            <m:sty m:val="p"/>
          </m:rPr>
          <m:t> + </m:t>
        </m:r>
        <m:sSub>
          <m:e>
            <m:r>
              <m:rPr>
                <m:sty m:val="p"/>
              </m:rPr>
              <m:t>λ</m:t>
            </m:r>
          </m:e>
          <m:sub>
            <m:r>
              <m:rPr>
                <m:sty m:val="p"/>
              </m:rPr>
              <m:t>t</m:t>
            </m:r>
          </m:sub>
        </m:sSub>
        <m:r>
          <m:rPr>
            <m:sty m:val="p"/>
          </m:rPr>
          <m:t> + </m:t>
        </m:r>
        <m:sSub>
          <m:e>
            <m:r>
              <m:rPr>
                <m:sty m:val="p"/>
              </m:rPr>
              <m:t>ε</m:t>
            </m:r>
          </m:e>
          <m:sub>
            <m:r>
              <m:rPr>
                <m:sty m:val="p"/>
              </m:rPr>
              <m:t>i,t+2</m:t>
            </m:r>
          </m:sub>
        </m:sSub>
      </m:oMath>
      <w:r>
        <w:rPr>
          <w:rFonts w:ascii="Cambria Math" w:hAnsi="Cambria Math"/>
          <w:sz w:val="21"/>
        </w:rPr>
        <w:t xml:space="preserve">    (5)</w:t>
      </w:r>
    </w:p>
    <w:p>
      <w:pPr>
        <w:keepNext w:val="0"/>
        <w:keepLines w:val="0"/>
        <w:widowControl/>
        <w:jc w:val="both"/>
      </w:pPr>
      <w:r>
        <w:t>其中，i表示企业，t表示报告年度；μᵢ为公司固定效应，λₜ为年份固定效应。β衡量同一企业的BMIDisclosure相对其长期水平变化时，与两年后资产周转率之间的条件关联。所有基准模型均包含表3所列控制变量，标准误按公司层面聚类。</w:t>
      </w:r>
    </w:p>
    <w:p>
      <w:pPr>
        <w:keepNext w:val="0"/>
        <w:keepLines w:val="0"/>
        <w:widowControl/>
        <w:jc w:val="both"/>
      </w:pPr>
      <w:r>
        <w:t>公司固定效应吸收企业长期不变的行业定位、治理传统和组织文化等因素，年份固定效应吸收宏观周期、疫情和制度变化等共同年度冲击。因此，β主要来自同一企业相对自身长期水平的披露变化，而不是高披露企业与低披露企业的简单横截面对比。固定效应仍不能控制随时间变化的管理质量、需求预期、并购活动、融资约束或披露动机。</w:t>
      </w:r>
    </w:p>
    <w:p>
      <w:pPr>
        <w:keepNext w:val="0"/>
        <w:keepLines w:val="0"/>
        <w:widowControl/>
        <w:jc w:val="both"/>
      </w:pPr>
      <w:r>
        <w:t>同一企业连续年度的经营误差可能相关，普通异方差稳健标准误不能充分反映这种组内相关。基准模型因此在公司层面聚类标准误（Petersen, 2009）。行业×年份和市场×年份固定效应规格继续使用公司聚类，使显著性判断不把同一公司的多年记录视为相互独立。</w:t>
      </w:r>
    </w:p>
    <w:p>
      <w:pPr>
        <w:keepNext w:val="0"/>
        <w:keepLines w:val="0"/>
        <w:widowControl/>
        <w:jc w:val="both"/>
      </w:pPr>
      <w:r>
        <w:t>H1的基准系数和H2的标准化系数差异构成最终核心检验集合。在这两项检验内部使用Benjamini–Hochberg方法后，H1的q值小于0.001，H2的q值为0.0019（Benjamini &amp; Hochberg, 1995）。该集合是在模型探索后确定的：前期比较过136个非CAR结果、13个披露变量和3套控制规格，共5,304个候选模型。历史模型搜索审计记录显示，最终主结果对应的全搜索BH q值为0.0107、BY q值为0.0982（Benjamini &amp; Yekutieli, 2001）；现有审计包未保留可供再次计算这两个数值的完整5,304项底表。本文因此把结果视为选择后的探索性证据，不把族内q值解释为事前注册检验。</w:t>
      </w:r>
    </w:p>
    <w:p>
      <w:pPr>
        <w:keepNext w:val="0"/>
        <w:keepLines w:val="0"/>
        <w:widowControl/>
        <w:jc w:val="both"/>
      </w:pPr>
      <w:r>
        <w:t>BMIDisclosure、NonBMIDisclosure和TotalDigital使用冻结基础面板的均值和标准差进行z标准化。BMIDisclosure的全面板标准差为0.002111，约等于每1,000个有效句子增加2.11个BMI句子。因此，基准系数表示冻结基础面板尺度上的1个标准差变化，而不是主回归子样本自身标准差的变化。为了避免尺度差异影响BMI与NonBMI比较，本文另将两项变量都换算为每1,000个有效句子的句数并重新进行Wald检验。</w:t>
      </w:r>
    </w:p>
    <w:p>
      <w:pPr>
        <w:keepNext w:val="0"/>
        <w:keepLines w:val="0"/>
        <w:widowControl/>
        <w:jc w:val="both"/>
      </w:pPr>
      <w:r>
        <w:t>基准系数0.0302约为主样本资产周转率标准差的0.063。主样本BMIDisclosure从P25变到P75，对应资产周转率约0.0115的条件差异，约为样本均值的1.44%。这一量级能够在大样本中稳定检出，但并不表示它足以对单个企业形成强预测。</w:t>
      </w:r>
    </w:p>
    <w:p>
      <w:pPr>
        <w:keepNext w:val="0"/>
        <w:keepLines w:val="0"/>
        <w:widowControl/>
        <w:jc w:val="both"/>
      </w:pPr>
      <w:r>
        <w:t>一个尤其重要的替代解释是，管理层可能基于尚未完全实现但已经形成的未来需求或销售预期，在当期年报中更多披露平台、渠道、数字服务与收入模式相关行动。若这些预期随后部分实现，BMIDisclosure与未来销售和资产周转率之间就可能出现正向关联。公司固定效应、基期经营控制及前后时点检验能够降低部分混杂，但不能完全排除这种随时间变化的前瞻性披露动机。因此，本文不能把BMIDisclosure系数解释为数字披露或数字行动本身产生的因果效应。</w:t>
      </w:r>
    </w:p>
    <w:p>
      <w:pPr>
        <w:keepNext w:val="0"/>
        <w:keepLines w:val="0"/>
        <w:widowControl/>
        <w:jc w:val="both"/>
      </w:pPr>
      <w:r>
        <w:t>BMIDisclosure的相邻年度相关系数为0.893，企业内变化约占总变异平方和的21.1%。样本中有1,069次由零转为正值和695次由正值转为零。公司固定效应具有可用的企业内变化，但变量持续性较高，进一步限制了因果解释。</w:t>
      </w:r>
    </w:p>
    <w:p>
      <w:pPr>
        <w:pStyle w:val="Heading1"/>
        <w:keepNext/>
        <w:keepLines/>
        <w:pageBreakBefore w:val="0"/>
        <w:widowControl/>
      </w:pPr>
      <w:r>
        <w:rPr>
          <w:color w:val="000000"/>
        </w:rPr>
        <w:t>5 实证结果</w:t>
      </w:r>
    </w:p>
    <w:p>
      <w:pPr>
        <w:pStyle w:val="Heading2"/>
        <w:keepNext/>
        <w:keepLines/>
        <w:widowControl/>
      </w:pPr>
      <w:r>
        <w:rPr>
          <w:color w:val="000000"/>
        </w:rPr>
        <w:t>5.1 基准回归结果</w:t>
      </w:r>
    </w:p>
    <w:p>
      <w:pPr>
        <w:keepNext/>
        <w:keepLines w:val="0"/>
        <w:widowControl/>
        <w:spacing w:before="140" w:after="60"/>
        <w:ind w:firstLine="0"/>
        <w:jc w:val="center"/>
      </w:pPr>
      <w:r>
        <w:rPr>
          <w:b/>
        </w:rPr>
        <w:t>表5 H1基准回归结果</w:t>
      </w:r>
    </w:p>
    <w:tbl>
      <w:tblPr>
        <w:tblW w:type="pct" w:w="5000"/>
        <w:jc w:val="center"/>
        <w:tblLayout w:type="autofit"/>
        <w:tblLook w:firstColumn="1" w:firstRow="1" w:lastColumn="0" w:lastRow="0" w:noHBand="0" w:noVBand="1" w:val="04A0"/>
      </w:tblPr>
      <w:tblGrid>
        <w:gridCol w:w="2268"/>
        <w:gridCol w:w="2268"/>
        <w:gridCol w:w="2268"/>
        <w:gridCol w:w="2268"/>
      </w:tblGrid>
      <w:tr>
        <w:trPr>
          <w:tblHeader w:val="true"/>
          <w:cantSplit/>
          <w:tblHeader w:val="true"/>
          <w:cantSplit/>
          <w:tblHeader w:val="true"/>
          <w:cantSplit/>
        </w:trPr>
        <w:tc>
          <w:tcPr>
            <w:tcW w:type="dxa" w:w="2381"/>
            <w:vAlign w:val="center"/>
          </w:tcPr>
          <w:p>
            <w:pPr>
              <w:spacing w:before="0" w:after="0" w:line="240" w:lineRule="auto"/>
              <w:jc w:val="center"/>
            </w:pPr>
            <w:r>
              <w:rPr>
                <w:rFonts w:ascii="宋体" w:hAnsi="宋体" w:eastAsia="宋体"/>
                <w:b/>
                <w:sz w:val="17"/>
              </w:rPr>
              <w:t>变量</w:t>
            </w:r>
          </w:p>
        </w:tc>
        <w:tc>
          <w:tcPr>
            <w:tcW w:type="dxa" w:w="2098"/>
            <w:vAlign w:val="center"/>
          </w:tcPr>
          <w:p>
            <w:pPr>
              <w:spacing w:before="0" w:after="0" w:line="240" w:lineRule="auto"/>
              <w:jc w:val="center"/>
            </w:pPr>
            <w:r>
              <w:rPr>
                <w:rFonts w:ascii="宋体" w:hAnsi="宋体" w:eastAsia="宋体"/>
                <w:b/>
                <w:sz w:val="17"/>
              </w:rPr>
              <w:t>系数（聚类标准误）</w:t>
            </w:r>
          </w:p>
        </w:tc>
        <w:tc>
          <w:tcPr>
            <w:tcW w:type="dxa" w:w="2381"/>
            <w:vAlign w:val="center"/>
          </w:tcPr>
          <w:p>
            <w:pPr>
              <w:spacing w:before="0" w:after="0" w:line="240" w:lineRule="auto"/>
              <w:jc w:val="center"/>
            </w:pPr>
            <w:r>
              <w:rPr>
                <w:rFonts w:ascii="宋体" w:hAnsi="宋体" w:eastAsia="宋体"/>
                <w:b/>
                <w:sz w:val="17"/>
              </w:rPr>
              <w:t>变量</w:t>
            </w:r>
          </w:p>
        </w:tc>
        <w:tc>
          <w:tcPr>
            <w:tcW w:type="dxa" w:w="2098"/>
            <w:vAlign w:val="center"/>
          </w:tcPr>
          <w:p>
            <w:pPr>
              <w:spacing w:before="0" w:after="0" w:line="240" w:lineRule="auto"/>
              <w:jc w:val="center"/>
            </w:pPr>
            <w:r>
              <w:rPr>
                <w:rFonts w:ascii="宋体" w:hAnsi="宋体" w:eastAsia="宋体"/>
                <w:b/>
                <w:sz w:val="17"/>
              </w:rPr>
              <w:t>系数（聚类标准误）</w:t>
            </w:r>
          </w:p>
        </w:tc>
      </w:tr>
      <w:tr>
        <w:tc>
          <w:tcPr>
            <w:tcW w:type="dxa" w:w="2381"/>
            <w:vAlign w:val="center"/>
          </w:tcPr>
          <w:p>
            <w:pPr>
              <w:spacing w:before="0" w:after="0" w:line="240" w:lineRule="auto"/>
            </w:pPr>
            <w:r>
              <w:rPr>
                <w:rFonts w:ascii="宋体" w:hAnsi="宋体" w:eastAsia="宋体"/>
                <w:sz w:val="17"/>
              </w:rPr>
              <w:t>商业模式导向披露（z）</w:t>
            </w:r>
          </w:p>
        </w:tc>
        <w:tc>
          <w:tcPr>
            <w:tcW w:type="dxa" w:w="2098"/>
            <w:vAlign w:val="center"/>
          </w:tcPr>
          <w:p>
            <w:pPr>
              <w:spacing w:before="0" w:after="0" w:line="240" w:lineRule="auto"/>
            </w:pPr>
            <w:r>
              <w:rPr>
                <w:rFonts w:ascii="宋体" w:hAnsi="宋体" w:eastAsia="宋体"/>
                <w:sz w:val="17"/>
              </w:rPr>
              <w:t>0.0302***</w:t>
              <w:br/>
              <w:t>(0.0069)</w:t>
            </w:r>
          </w:p>
        </w:tc>
        <w:tc>
          <w:tcPr>
            <w:tcW w:type="dxa" w:w="2381"/>
            <w:vAlign w:val="center"/>
          </w:tcPr>
          <w:p>
            <w:pPr>
              <w:spacing w:before="0" w:after="0" w:line="240" w:lineRule="auto"/>
            </w:pPr>
            <w:r>
              <w:rPr>
                <w:rFonts w:ascii="宋体" w:hAnsi="宋体" w:eastAsia="宋体"/>
                <w:sz w:val="17"/>
              </w:rPr>
              <w:t>基期资产周转率</w:t>
            </w:r>
          </w:p>
        </w:tc>
        <w:tc>
          <w:tcPr>
            <w:tcW w:type="dxa" w:w="2098"/>
            <w:vAlign w:val="center"/>
          </w:tcPr>
          <w:p>
            <w:pPr>
              <w:spacing w:before="0" w:after="0" w:line="240" w:lineRule="auto"/>
            </w:pPr>
            <w:r>
              <w:rPr>
                <w:rFonts w:ascii="宋体" w:hAnsi="宋体" w:eastAsia="宋体"/>
                <w:sz w:val="17"/>
              </w:rPr>
              <w:t>0.1074***</w:t>
              <w:br/>
              <w:t>(0.0216)</w:t>
            </w:r>
          </w:p>
        </w:tc>
      </w:tr>
      <w:tr>
        <w:tc>
          <w:tcPr>
            <w:tcW w:type="dxa" w:w="2381"/>
            <w:vAlign w:val="center"/>
          </w:tcPr>
          <w:p>
            <w:pPr>
              <w:spacing w:before="0" w:after="0" w:line="240" w:lineRule="auto"/>
            </w:pPr>
            <w:r>
              <w:rPr>
                <w:rFonts w:ascii="宋体" w:hAnsi="宋体" w:eastAsia="宋体"/>
                <w:sz w:val="17"/>
              </w:rPr>
              <w:t>公司规模</w:t>
            </w:r>
          </w:p>
        </w:tc>
        <w:tc>
          <w:tcPr>
            <w:tcW w:type="dxa" w:w="2098"/>
            <w:vAlign w:val="center"/>
          </w:tcPr>
          <w:p>
            <w:pPr>
              <w:spacing w:before="0" w:after="0" w:line="240" w:lineRule="auto"/>
            </w:pPr>
            <w:r>
              <w:rPr>
                <w:rFonts w:ascii="宋体" w:hAnsi="宋体" w:eastAsia="宋体"/>
                <w:sz w:val="17"/>
              </w:rPr>
              <w:t>-0.1010***</w:t>
              <w:br/>
              <w:t>(0.0162)</w:t>
            </w:r>
          </w:p>
        </w:tc>
        <w:tc>
          <w:tcPr>
            <w:tcW w:type="dxa" w:w="2381"/>
            <w:vAlign w:val="center"/>
          </w:tcPr>
          <w:p>
            <w:pPr>
              <w:spacing w:before="0" w:after="0" w:line="240" w:lineRule="auto"/>
            </w:pPr>
            <w:r>
              <w:rPr>
                <w:rFonts w:ascii="宋体" w:hAnsi="宋体" w:eastAsia="宋体"/>
                <w:sz w:val="17"/>
              </w:rPr>
              <w:t>杠杆率</w:t>
            </w:r>
          </w:p>
        </w:tc>
        <w:tc>
          <w:tcPr>
            <w:tcW w:type="dxa" w:w="2098"/>
            <w:vAlign w:val="center"/>
          </w:tcPr>
          <w:p>
            <w:pPr>
              <w:spacing w:before="0" w:after="0" w:line="240" w:lineRule="auto"/>
            </w:pPr>
            <w:r>
              <w:rPr>
                <w:rFonts w:ascii="宋体" w:hAnsi="宋体" w:eastAsia="宋体"/>
                <w:sz w:val="17"/>
              </w:rPr>
              <w:t>0.1206***</w:t>
              <w:br/>
              <w:t>(0.0363)</w:t>
            </w:r>
          </w:p>
        </w:tc>
      </w:tr>
      <w:tr>
        <w:tc>
          <w:tcPr>
            <w:tcW w:type="dxa" w:w="2381"/>
            <w:vAlign w:val="center"/>
          </w:tcPr>
          <w:p>
            <w:pPr>
              <w:spacing w:before="0" w:after="0" w:line="240" w:lineRule="auto"/>
            </w:pPr>
            <w:r>
              <w:rPr>
                <w:rFonts w:ascii="宋体" w:hAnsi="宋体" w:eastAsia="宋体"/>
                <w:sz w:val="17"/>
              </w:rPr>
              <w:t>ROA</w:t>
            </w:r>
          </w:p>
        </w:tc>
        <w:tc>
          <w:tcPr>
            <w:tcW w:type="dxa" w:w="2098"/>
            <w:vAlign w:val="center"/>
          </w:tcPr>
          <w:p>
            <w:pPr>
              <w:spacing w:before="0" w:after="0" w:line="240" w:lineRule="auto"/>
            </w:pPr>
            <w:r>
              <w:rPr>
                <w:rFonts w:ascii="宋体" w:hAnsi="宋体" w:eastAsia="宋体"/>
                <w:sz w:val="17"/>
              </w:rPr>
              <w:t>-0.1065***</w:t>
              <w:br/>
              <w:t>(0.0408)</w:t>
            </w:r>
          </w:p>
        </w:tc>
        <w:tc>
          <w:tcPr>
            <w:tcW w:type="dxa" w:w="2381"/>
            <w:vAlign w:val="center"/>
          </w:tcPr>
          <w:p>
            <w:pPr>
              <w:spacing w:before="0" w:after="0" w:line="240" w:lineRule="auto"/>
            </w:pPr>
            <w:r>
              <w:rPr>
                <w:rFonts w:ascii="宋体" w:hAnsi="宋体" w:eastAsia="宋体"/>
                <w:sz w:val="17"/>
              </w:rPr>
              <w:t>销售增长</w:t>
            </w:r>
          </w:p>
        </w:tc>
        <w:tc>
          <w:tcPr>
            <w:tcW w:type="dxa" w:w="2098"/>
            <w:vAlign w:val="center"/>
          </w:tcPr>
          <w:p>
            <w:pPr>
              <w:spacing w:before="0" w:after="0" w:line="240" w:lineRule="auto"/>
            </w:pPr>
            <w:r>
              <w:rPr>
                <w:rFonts w:ascii="宋体" w:hAnsi="宋体" w:eastAsia="宋体"/>
                <w:sz w:val="17"/>
              </w:rPr>
              <w:t>0.0415***</w:t>
              <w:br/>
              <w:t>(0.0078)</w:t>
            </w:r>
          </w:p>
        </w:tc>
      </w:tr>
      <w:tr>
        <w:tc>
          <w:tcPr>
            <w:tcW w:type="dxa" w:w="2381"/>
            <w:vAlign w:val="center"/>
          </w:tcPr>
          <w:p>
            <w:pPr>
              <w:spacing w:before="0" w:after="0" w:line="240" w:lineRule="auto"/>
            </w:pPr>
            <w:r>
              <w:rPr>
                <w:rFonts w:ascii="宋体" w:hAnsi="宋体" w:eastAsia="宋体"/>
                <w:sz w:val="17"/>
              </w:rPr>
              <w:t>流动性</w:t>
            </w:r>
          </w:p>
        </w:tc>
        <w:tc>
          <w:tcPr>
            <w:tcW w:type="dxa" w:w="2098"/>
            <w:vAlign w:val="center"/>
          </w:tcPr>
          <w:p>
            <w:pPr>
              <w:spacing w:before="0" w:after="0" w:line="240" w:lineRule="auto"/>
            </w:pPr>
            <w:r>
              <w:rPr>
                <w:rFonts w:ascii="宋体" w:hAnsi="宋体" w:eastAsia="宋体"/>
                <w:sz w:val="17"/>
              </w:rPr>
              <w:t>-0.0015</w:t>
              <w:br/>
              <w:t>(0.0011)</w:t>
            </w:r>
          </w:p>
        </w:tc>
        <w:tc>
          <w:tcPr>
            <w:tcW w:type="dxa" w:w="2381"/>
            <w:vAlign w:val="center"/>
          </w:tcPr>
          <w:p>
            <w:pPr>
              <w:spacing w:before="0" w:after="0" w:line="240" w:lineRule="auto"/>
            </w:pPr>
            <w:r>
              <w:rPr>
                <w:rFonts w:ascii="宋体" w:hAnsi="宋体" w:eastAsia="宋体"/>
                <w:sz w:val="17"/>
              </w:rPr>
              <w:t>营业利润率</w:t>
            </w:r>
          </w:p>
        </w:tc>
        <w:tc>
          <w:tcPr>
            <w:tcW w:type="dxa" w:w="2098"/>
            <w:vAlign w:val="center"/>
          </w:tcPr>
          <w:p>
            <w:pPr>
              <w:spacing w:before="0" w:after="0" w:line="240" w:lineRule="auto"/>
            </w:pPr>
            <w:r>
              <w:rPr>
                <w:rFonts w:ascii="宋体" w:hAnsi="宋体" w:eastAsia="宋体"/>
                <w:sz w:val="17"/>
              </w:rPr>
              <w:t>-0.0268**</w:t>
              <w:br/>
              <w:t>(0.0127)</w:t>
            </w:r>
          </w:p>
        </w:tc>
      </w:tr>
      <w:tr>
        <w:tc>
          <w:tcPr>
            <w:tcW w:type="dxa" w:w="2381"/>
            <w:vAlign w:val="center"/>
          </w:tcPr>
          <w:p>
            <w:pPr>
              <w:spacing w:before="0" w:after="0" w:line="240" w:lineRule="auto"/>
            </w:pPr>
            <w:r>
              <w:rPr>
                <w:rFonts w:ascii="宋体" w:hAnsi="宋体" w:eastAsia="宋体"/>
                <w:sz w:val="17"/>
              </w:rPr>
              <w:t>公司年龄（ln）</w:t>
            </w:r>
          </w:p>
        </w:tc>
        <w:tc>
          <w:tcPr>
            <w:tcW w:type="dxa" w:w="2098"/>
            <w:vAlign w:val="center"/>
          </w:tcPr>
          <w:p>
            <w:pPr>
              <w:spacing w:before="0" w:after="0" w:line="240" w:lineRule="auto"/>
            </w:pPr>
            <w:r>
              <w:rPr>
                <w:rFonts w:ascii="宋体" w:hAnsi="宋体" w:eastAsia="宋体"/>
                <w:sz w:val="17"/>
              </w:rPr>
              <w:t>-0.0097</w:t>
              <w:br/>
              <w:t>(0.0307)</w:t>
            </w:r>
          </w:p>
        </w:tc>
        <w:tc>
          <w:tcPr>
            <w:tcW w:type="dxa" w:w="2381"/>
            <w:vAlign w:val="center"/>
          </w:tcPr>
          <w:p>
            <w:pPr>
              <w:spacing w:before="0" w:after="0" w:line="240" w:lineRule="auto"/>
            </w:pPr>
            <w:r>
              <w:rPr>
                <w:rFonts w:ascii="宋体" w:hAnsi="宋体" w:eastAsia="宋体"/>
                <w:sz w:val="17"/>
              </w:rPr>
              <w:t>亏损</w:t>
            </w:r>
          </w:p>
        </w:tc>
        <w:tc>
          <w:tcPr>
            <w:tcW w:type="dxa" w:w="2098"/>
            <w:vAlign w:val="center"/>
          </w:tcPr>
          <w:p>
            <w:pPr>
              <w:spacing w:before="0" w:after="0" w:line="240" w:lineRule="auto"/>
            </w:pPr>
            <w:r>
              <w:rPr>
                <w:rFonts w:ascii="宋体" w:hAnsi="宋体" w:eastAsia="宋体"/>
                <w:sz w:val="17"/>
              </w:rPr>
              <w:t>0.0098</w:t>
              <w:br/>
              <w:t>(0.0065)</w:t>
            </w:r>
          </w:p>
        </w:tc>
      </w:tr>
      <w:tr>
        <w:tc>
          <w:tcPr>
            <w:tcW w:type="dxa" w:w="2381"/>
            <w:vAlign w:val="center"/>
          </w:tcPr>
          <w:p>
            <w:pPr>
              <w:spacing w:before="0" w:after="0" w:line="240" w:lineRule="auto"/>
            </w:pPr>
            <w:r>
              <w:rPr>
                <w:rFonts w:ascii="宋体" w:hAnsi="宋体" w:eastAsia="宋体"/>
                <w:sz w:val="17"/>
              </w:rPr>
              <w:t>负权益</w:t>
            </w:r>
          </w:p>
        </w:tc>
        <w:tc>
          <w:tcPr>
            <w:tcW w:type="dxa" w:w="2098"/>
            <w:vAlign w:val="center"/>
          </w:tcPr>
          <w:p>
            <w:pPr>
              <w:spacing w:before="0" w:after="0" w:line="240" w:lineRule="auto"/>
            </w:pPr>
            <w:r>
              <w:rPr>
                <w:rFonts w:ascii="宋体" w:hAnsi="宋体" w:eastAsia="宋体"/>
                <w:sz w:val="17"/>
              </w:rPr>
              <w:t>-0.1355*</w:t>
              <w:br/>
              <w:t>(0.0751)</w:t>
            </w:r>
          </w:p>
        </w:tc>
        <w:tc>
          <w:tcPr>
            <w:tcW w:type="dxa" w:w="2381"/>
            <w:vAlign w:val="center"/>
          </w:tcPr>
          <w:p>
            <w:pPr>
              <w:spacing w:before="0" w:after="0" w:line="240" w:lineRule="auto"/>
            </w:pPr>
            <w:r>
              <w:rPr>
                <w:rFonts w:ascii="宋体" w:hAnsi="宋体" w:eastAsia="宋体"/>
                <w:sz w:val="17"/>
              </w:rPr>
              <w:t>年报篇幅（ln）</w:t>
            </w:r>
          </w:p>
        </w:tc>
        <w:tc>
          <w:tcPr>
            <w:tcW w:type="dxa" w:w="2098"/>
            <w:vAlign w:val="center"/>
          </w:tcPr>
          <w:p>
            <w:pPr>
              <w:spacing w:before="0" w:after="0" w:line="240" w:lineRule="auto"/>
            </w:pPr>
            <w:r>
              <w:rPr>
                <w:rFonts w:ascii="宋体" w:hAnsi="宋体" w:eastAsia="宋体"/>
                <w:sz w:val="17"/>
              </w:rPr>
              <w:t>-0.0338</w:t>
              <w:br/>
              <w:t>(0.0247)</w:t>
            </w:r>
          </w:p>
        </w:tc>
      </w:tr>
      <w:tr>
        <w:tc>
          <w:tcPr>
            <w:tcW w:type="dxa" w:w="2381"/>
            <w:vAlign w:val="center"/>
          </w:tcPr>
          <w:p>
            <w:pPr>
              <w:spacing w:before="0" w:after="0" w:line="240" w:lineRule="auto"/>
            </w:pPr>
            <w:r>
              <w:rPr>
                <w:rFonts w:ascii="宋体" w:hAnsi="宋体" w:eastAsia="宋体"/>
                <w:sz w:val="17"/>
              </w:rPr>
              <w:t>年度股票收益</w:t>
            </w:r>
          </w:p>
        </w:tc>
        <w:tc>
          <w:tcPr>
            <w:tcW w:type="dxa" w:w="2098"/>
            <w:vAlign w:val="center"/>
          </w:tcPr>
          <w:p>
            <w:pPr>
              <w:spacing w:before="0" w:after="0" w:line="240" w:lineRule="auto"/>
            </w:pPr>
            <w:r>
              <w:rPr>
                <w:rFonts w:ascii="宋体" w:hAnsi="宋体" w:eastAsia="宋体"/>
                <w:sz w:val="17"/>
              </w:rPr>
              <w:t>-0.0027</w:t>
              <w:br/>
              <w:t>(0.0044)</w:t>
            </w:r>
          </w:p>
        </w:tc>
        <w:tc>
          <w:tcPr>
            <w:tcW w:type="dxa" w:w="2381"/>
            <w:vAlign w:val="center"/>
          </w:tcPr>
          <w:p>
            <w:pPr>
              <w:spacing w:before="0" w:after="0" w:line="240" w:lineRule="auto"/>
            </w:pPr>
            <w:r>
              <w:rPr>
                <w:rFonts w:ascii="宋体" w:hAnsi="宋体" w:eastAsia="宋体"/>
                <w:sz w:val="17"/>
              </w:rPr>
              <w:t>年度日收益波动率</w:t>
            </w:r>
          </w:p>
        </w:tc>
        <w:tc>
          <w:tcPr>
            <w:tcW w:type="dxa" w:w="2098"/>
            <w:vAlign w:val="center"/>
          </w:tcPr>
          <w:p>
            <w:pPr>
              <w:spacing w:before="0" w:after="0" w:line="240" w:lineRule="auto"/>
            </w:pPr>
            <w:r>
              <w:rPr>
                <w:rFonts w:ascii="宋体" w:hAnsi="宋体" w:eastAsia="宋体"/>
                <w:sz w:val="17"/>
              </w:rPr>
              <w:t>-0.7330***</w:t>
              <w:br/>
              <w:t>(0.2813)</w:t>
            </w:r>
          </w:p>
        </w:tc>
      </w:tr>
      <w:tr>
        <w:tc>
          <w:tcPr>
            <w:tcW w:type="dxa" w:w="2381"/>
            <w:vAlign w:val="center"/>
          </w:tcPr>
          <w:p>
            <w:pPr>
              <w:spacing w:before="0" w:after="0" w:line="240" w:lineRule="auto"/>
            </w:pPr>
            <w:r>
              <w:rPr>
                <w:rFonts w:ascii="宋体" w:hAnsi="宋体" w:eastAsia="宋体"/>
                <w:sz w:val="17"/>
              </w:rPr>
              <w:t>公司固定效应</w:t>
            </w:r>
          </w:p>
        </w:tc>
        <w:tc>
          <w:tcPr>
            <w:tcW w:type="dxa" w:w="2098"/>
            <w:vAlign w:val="center"/>
          </w:tcPr>
          <w:p>
            <w:pPr>
              <w:spacing w:before="0" w:after="0" w:line="240" w:lineRule="auto"/>
            </w:pPr>
            <w:r>
              <w:rPr>
                <w:rFonts w:ascii="宋体" w:hAnsi="宋体" w:eastAsia="宋体"/>
                <w:sz w:val="17"/>
              </w:rPr>
              <w:t>是</w:t>
            </w:r>
          </w:p>
        </w:tc>
        <w:tc>
          <w:tcPr>
            <w:tcW w:type="dxa" w:w="2381"/>
            <w:vAlign w:val="center"/>
          </w:tcPr>
          <w:p>
            <w:pPr>
              <w:spacing w:before="0" w:after="0" w:line="240" w:lineRule="auto"/>
            </w:pPr>
            <w:r>
              <w:rPr>
                <w:rFonts w:ascii="宋体" w:hAnsi="宋体" w:eastAsia="宋体"/>
                <w:sz w:val="17"/>
              </w:rPr>
              <w:t>年份固定效应</w:t>
            </w:r>
          </w:p>
        </w:tc>
        <w:tc>
          <w:tcPr>
            <w:tcW w:type="dxa" w:w="2098"/>
            <w:vAlign w:val="center"/>
          </w:tcPr>
          <w:p>
            <w:pPr>
              <w:spacing w:before="0" w:after="0" w:line="240" w:lineRule="auto"/>
            </w:pPr>
            <w:r>
              <w:rPr>
                <w:rFonts w:ascii="宋体" w:hAnsi="宋体" w:eastAsia="宋体"/>
                <w:sz w:val="17"/>
              </w:rPr>
              <w:t>是</w:t>
            </w:r>
          </w:p>
        </w:tc>
      </w:tr>
      <w:tr>
        <w:tc>
          <w:tcPr>
            <w:tcW w:type="dxa" w:w="2381"/>
            <w:vAlign w:val="center"/>
          </w:tcPr>
          <w:p>
            <w:pPr>
              <w:spacing w:before="0" w:after="0" w:line="240" w:lineRule="auto"/>
            </w:pPr>
            <w:r>
              <w:rPr>
                <w:rFonts w:ascii="宋体" w:hAnsi="宋体" w:eastAsia="宋体"/>
                <w:sz w:val="17"/>
              </w:rPr>
              <w:t>观测值</w:t>
            </w:r>
          </w:p>
        </w:tc>
        <w:tc>
          <w:tcPr>
            <w:tcW w:type="dxa" w:w="2098"/>
            <w:vAlign w:val="center"/>
          </w:tcPr>
          <w:p>
            <w:pPr>
              <w:spacing w:before="0" w:after="0" w:line="240" w:lineRule="auto"/>
            </w:pPr>
            <w:r>
              <w:rPr>
                <w:rFonts w:ascii="宋体" w:hAnsi="宋体" w:eastAsia="宋体"/>
                <w:sz w:val="17"/>
              </w:rPr>
              <w:t>13,980</w:t>
            </w:r>
          </w:p>
        </w:tc>
        <w:tc>
          <w:tcPr>
            <w:tcW w:type="dxa" w:w="2381"/>
            <w:vAlign w:val="center"/>
          </w:tcPr>
          <w:p>
            <w:pPr>
              <w:spacing w:before="0" w:after="0" w:line="240" w:lineRule="auto"/>
            </w:pPr>
            <w:r>
              <w:rPr>
                <w:rFonts w:ascii="宋体" w:hAnsi="宋体" w:eastAsia="宋体"/>
                <w:sz w:val="17"/>
              </w:rPr>
              <w:t>公司数</w:t>
            </w:r>
          </w:p>
        </w:tc>
        <w:tc>
          <w:tcPr>
            <w:tcW w:type="dxa" w:w="2098"/>
            <w:vAlign w:val="center"/>
          </w:tcPr>
          <w:p>
            <w:pPr>
              <w:spacing w:before="0" w:after="0" w:line="240" w:lineRule="auto"/>
            </w:pPr>
            <w:r>
              <w:rPr>
                <w:rFonts w:ascii="宋体" w:hAnsi="宋体" w:eastAsia="宋体"/>
                <w:sz w:val="17"/>
              </w:rPr>
              <w:t>2,054</w:t>
            </w:r>
          </w:p>
        </w:tc>
      </w:tr>
      <w:tr>
        <w:tc>
          <w:tcPr>
            <w:tcW w:type="dxa" w:w="2381"/>
            <w:vAlign w:val="center"/>
          </w:tcPr>
          <w:p>
            <w:pPr>
              <w:spacing w:before="0" w:after="0" w:line="240" w:lineRule="auto"/>
            </w:pPr>
            <w:r>
              <w:rPr>
                <w:rFonts w:ascii="宋体" w:hAnsi="宋体" w:eastAsia="宋体"/>
                <w:sz w:val="17"/>
              </w:rPr>
              <w:t>Within R²</w:t>
            </w:r>
          </w:p>
        </w:tc>
        <w:tc>
          <w:tcPr>
            <w:tcW w:type="dxa" w:w="2098"/>
            <w:vAlign w:val="center"/>
          </w:tcPr>
          <w:p>
            <w:pPr>
              <w:spacing w:before="0" w:after="0" w:line="240" w:lineRule="auto"/>
            </w:pPr>
            <w:r>
              <w:rPr>
                <w:rFonts w:ascii="宋体" w:hAnsi="宋体" w:eastAsia="宋体"/>
                <w:sz w:val="17"/>
              </w:rPr>
              <w:t>0.0556</w:t>
            </w:r>
          </w:p>
        </w:tc>
        <w:tc>
          <w:tcPr>
            <w:tcW w:type="dxa" w:w="2381"/>
            <w:vAlign w:val="center"/>
          </w:tcPr>
          <w:p>
            <w:pPr>
              <w:spacing w:before="0" w:after="0" w:line="240" w:lineRule="auto"/>
            </w:pPr>
            <w:r>
              <w:rPr>
                <w:rFonts w:ascii="宋体" w:hAnsi="宋体" w:eastAsia="宋体"/>
                <w:sz w:val="17"/>
              </w:rPr>
            </w:r>
          </w:p>
        </w:tc>
        <w:tc>
          <w:tcPr>
            <w:tcW w:type="dxa" w:w="2098"/>
            <w:vAlign w:val="center"/>
          </w:tcPr>
          <w:p>
            <w:pPr>
              <w:spacing w:before="0" w:after="0" w:line="240" w:lineRule="auto"/>
            </w:pPr>
            <w:r>
              <w:rPr>
                <w:rFonts w:ascii="宋体" w:hAnsi="宋体" w:eastAsia="宋体"/>
                <w:sz w:val="17"/>
              </w:rPr>
            </w:r>
          </w:p>
        </w:tc>
      </w:tr>
    </w:tbl>
    <w:p>
      <w:pPr>
        <w:pStyle w:val="TableNote"/>
        <w:widowControl/>
      </w:pPr>
      <w:r>
        <w:t>注：因变量为t+2资产周转率。括号内为公司层面聚类标准误；***、**、*分别表示未经多重检验调整的1%、5%和10%水平。商业模式导向披露按22,654个公司年度的基础面板均值和标准差进行标准化。</w:t>
      </w:r>
    </w:p>
    <w:p>
      <w:pPr>
        <w:keepNext/>
        <w:keepLines w:val="0"/>
        <w:widowControl/>
        <w:jc w:val="center"/>
      </w:pPr>
      <w:r>
        <w:rPr>
          <w:b/>
        </w:rPr>
        <w:t>表5显示，商业模式导向披露的系数为0.0302（SE=0.0069，p&lt;0.001；95%置信区间[0.0167, 0.0438]）。在控制基期财务状况以及公司和年份固定效应后，同一企业较高的披露水平与两年后较高的资产周转率相关。该结果在选择后的报告规格中与H1一致，但仍可能受到前瞻性披露、时变遗漏因素和动态固定效应偏误影响。</w:t>
      </w:r>
    </w:p>
    <w:p>
      <w:pPr>
        <w:pStyle w:val="Heading2"/>
        <w:keepNext/>
        <w:keepLines/>
        <w:widowControl/>
      </w:pPr>
      <w:r>
        <w:rPr>
          <w:color w:val="000000"/>
        </w:rPr>
        <w:t>5.2 H2：不同披露类型的系数差异</w:t>
      </w:r>
    </w:p>
    <w:p>
      <w:pPr>
        <w:keepNext w:val="0"/>
        <w:keepLines w:val="0"/>
        <w:widowControl/>
        <w:spacing w:before="120" w:after="120"/>
        <w:ind w:firstLine="0"/>
        <w:jc w:val="center"/>
      </w:pPr>
      <m:oMath>
        <m:sSub>
          <m:e>
            <m:r>
              <m:rPr>
                <m:sty m:val="p"/>
              </m:rPr>
              <m:t>AT</m:t>
            </m:r>
          </m:e>
          <m:sub>
            <m:r>
              <m:rPr>
                <m:sty m:val="p"/>
              </m:rPr>
              <m:t>i,t+2</m:t>
            </m:r>
          </m:sub>
        </m:sSub>
        <m:r>
          <m:rPr>
            <m:sty m:val="p"/>
          </m:rPr>
          <m:t> = </m:t>
        </m:r>
        <m:sSub>
          <m:e>
            <m:r>
              <m:rPr>
                <m:sty m:val="p"/>
              </m:rPr>
              <m:t>β</m:t>
            </m:r>
          </m:e>
          <m:sub>
            <m:r>
              <m:rPr>
                <m:sty m:val="p"/>
              </m:rPr>
              <m:t>B</m:t>
            </m:r>
          </m:sub>
        </m:sSub>
        <m:r>
          <m:rPr>
            <m:sty m:val="p"/>
          </m:rPr>
          <m:t> </m:t>
        </m:r>
        <m:sSub>
          <m:e>
            <m:r>
              <m:rPr>
                <m:sty m:val="p"/>
              </m:rPr>
              <m:t>BMI</m:t>
            </m:r>
          </m:e>
          <m:sub>
            <m:r>
              <m:rPr>
                <m:sty m:val="p"/>
              </m:rPr>
              <m:t>i,t</m:t>
            </m:r>
          </m:sub>
        </m:sSub>
        <m:r>
          <m:rPr>
            <m:sty m:val="p"/>
          </m:rPr>
          <m:t> + </m:t>
        </m:r>
        <m:sSub>
          <m:e>
            <m:r>
              <m:rPr>
                <m:sty m:val="p"/>
              </m:rPr>
              <m:t>β</m:t>
            </m:r>
          </m:e>
          <m:sub>
            <m:r>
              <m:rPr>
                <m:sty m:val="p"/>
              </m:rPr>
              <m:t>N</m:t>
            </m:r>
          </m:sub>
        </m:sSub>
        <m:r>
          <m:rPr>
            <m:sty m:val="p"/>
          </m:rPr>
          <m:t> </m:t>
        </m:r>
        <m:sSub>
          <m:e>
            <m:r>
              <m:rPr>
                <m:sty m:val="p"/>
              </m:rPr>
              <m:t>NonBMI</m:t>
            </m:r>
          </m:e>
          <m:sub>
            <m:r>
              <m:rPr>
                <m:sty m:val="p"/>
              </m:rPr>
              <m:t>i,t</m:t>
            </m:r>
          </m:sub>
        </m:sSub>
        <m:r>
          <m:rPr>
            <m:sty m:val="p"/>
          </m:rPr>
          <m:t> + δ </m:t>
        </m:r>
        <m:sSub>
          <m:e>
            <m:r>
              <m:rPr>
                <m:sty m:val="p"/>
              </m:rPr>
              <m:t>AT</m:t>
            </m:r>
          </m:e>
          <m:sub>
            <m:r>
              <m:rPr>
                <m:sty m:val="p"/>
              </m:rPr>
              <m:t>i,t</m:t>
            </m:r>
          </m:sub>
        </m:sSub>
        <m:r>
          <m:rPr>
            <m:sty m:val="p"/>
          </m:rPr>
          <m:t> + γ′ </m:t>
        </m:r>
        <m:sSub>
          <m:e>
            <m:r>
              <m:rPr>
                <m:sty m:val="p"/>
              </m:rPr>
              <m:t>X</m:t>
            </m:r>
          </m:e>
          <m:sub>
            <m:r>
              <m:rPr>
                <m:sty m:val="p"/>
              </m:rPr>
              <m:t>i,t</m:t>
            </m:r>
          </m:sub>
        </m:sSub>
        <m:r>
          <m:rPr>
            <m:sty m:val="p"/>
          </m:rPr>
          <m:t> + </m:t>
        </m:r>
        <m:sSub>
          <m:e>
            <m:r>
              <m:rPr>
                <m:sty m:val="p"/>
              </m:rPr>
              <m:t>μ</m:t>
            </m:r>
          </m:e>
          <m:sub>
            <m:r>
              <m:rPr>
                <m:sty m:val="p"/>
              </m:rPr>
              <m:t>i</m:t>
            </m:r>
          </m:sub>
        </m:sSub>
        <m:r>
          <m:rPr>
            <m:sty m:val="p"/>
          </m:rPr>
          <m:t> + </m:t>
        </m:r>
        <m:sSub>
          <m:e>
            <m:r>
              <m:rPr>
                <m:sty m:val="p"/>
              </m:rPr>
              <m:t>λ</m:t>
            </m:r>
          </m:e>
          <m:sub>
            <m:r>
              <m:rPr>
                <m:sty m:val="p"/>
              </m:rPr>
              <m:t>t</m:t>
            </m:r>
          </m:sub>
        </m:sSub>
        <m:r>
          <m:rPr>
            <m:sty m:val="p"/>
          </m:rPr>
          <m:t> + </m:t>
        </m:r>
        <m:sSub>
          <m:e>
            <m:r>
              <m:rPr>
                <m:sty m:val="p"/>
              </m:rPr>
              <m:t>ε</m:t>
            </m:r>
          </m:e>
          <m:sub>
            <m:r>
              <m:rPr>
                <m:sty m:val="p"/>
              </m:rPr>
              <m:t>i,t+2</m:t>
            </m:r>
          </m:sub>
        </m:sSub>
      </m:oMath>
      <w:r>
        <w:rPr>
          <w:rFonts w:ascii="Cambria Math" w:hAnsi="Cambria Math"/>
          <w:sz w:val="21"/>
        </w:rPr>
        <w:t xml:space="preserve">    (6)</w:t>
      </w:r>
    </w:p>
    <w:p>
      <w:pPr>
        <w:keepNext w:val="0"/>
        <w:keepLines w:val="0"/>
        <w:widowControl/>
        <w:jc w:val="both"/>
      </w:pPr>
      <w:r>
        <w:t>式（6）为类型联合模型的紧凑写法，其中AT表示资产周转率，BMI与NonBMI分别表示两类标准化披露变量，X表示表3所列控制变量。两类披露同时进入同一回归，因而βᴮ和βᴺ分别是在控制另一类披露后的条件系数。</w:t>
      </w:r>
    </w:p>
    <w:p>
      <w:pPr>
        <w:keepNext/>
        <w:keepLines w:val="0"/>
        <w:widowControl/>
        <w:spacing w:before="140" w:after="60"/>
        <w:ind w:firstLine="0"/>
        <w:jc w:val="center"/>
      </w:pPr>
      <w:r>
        <w:rPr>
          <w:rFonts w:ascii="黑体" w:hAnsi="黑体" w:eastAsia="黑体"/>
          <w:b/>
          <w:sz w:val="20"/>
        </w:rPr>
        <w:t>表6 数字披露类型、总量与构成</w:t>
      </w:r>
    </w:p>
    <w:tbl>
      <w:tblPr>
        <w:tblW w:type="pct" w:w="5000"/>
        <w:jc w:val="center"/>
        <w:tblLayout w:type="autofit"/>
        <w:tblLook w:firstColumn="1" w:firstRow="1" w:lastColumn="0" w:lastRow="0" w:noHBand="0" w:noVBand="1" w:val="04A0"/>
      </w:tblPr>
      <w:tblGrid>
        <w:gridCol w:w="1814"/>
        <w:gridCol w:w="1814"/>
        <w:gridCol w:w="1814"/>
        <w:gridCol w:w="1814"/>
        <w:gridCol w:w="1814"/>
      </w:tblGrid>
      <w:tr>
        <w:trPr>
          <w:tblHeader w:val="true"/>
          <w:cantSplit/>
          <w:tblHeader w:val="true"/>
          <w:cantSplit/>
        </w:trPr>
        <w:tc>
          <w:tcPr>
            <w:tcW w:type="dxa" w:w="289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变量</w:t>
            </w:r>
          </w:p>
        </w:tc>
        <w:tc>
          <w:tcPr>
            <w:tcW w:type="dxa" w:w="181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(1) 类型联合模型</w:t>
            </w:r>
          </w:p>
        </w:tc>
        <w:tc>
          <w:tcPr>
            <w:tcW w:type="dxa" w:w="170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(2) 总量模型</w:t>
            </w:r>
          </w:p>
        </w:tc>
        <w:tc>
          <w:tcPr>
            <w:tcW w:type="dxa" w:w="181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(3) 总量与构成</w:t>
            </w:r>
          </w:p>
        </w:tc>
        <w:tc>
          <w:tcPr>
            <w:tcW w:type="dxa" w:w="181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(4) 正披露样本</w:t>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BMIDisclosure（z）</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0.0312***</w:t>
              <w:br/>
              <w:t>(0.0072)</w:t>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NonBMIDisclosure（z）</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-0.0060</w:t>
              <w:br/>
              <w:t>(0.0071)</w:t>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TotalDigital（z）</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0.0233***</w:t>
              <w:br/>
              <w:t>(0.0069)</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0.0213***</w:t>
              <w:br/>
              <w:t>(0.0071)</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0.0218***</w:t>
              <w:br/>
              <w:t>(0.0077)</w:t>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BMIShare</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0.0049</w:t>
              <w:br/>
              <w:t>(0.0038)</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0.0109</w:t>
              <w:br/>
              <w:t>(0.0183)</w:t>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公司固定效应</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年份固定效应</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基准控制变量</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是</w:t>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观测值</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6,139</w:t>
            </w:r>
          </w:p>
        </w:tc>
      </w:tr>
      <w:tr>
        <w:trPr>
          <w:cantSplit/>
        </w:trPr>
        <w:tc>
          <w:tcPr>
            <w:tcW w:type="dxa" w:w="289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公司数</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2,054</w:t>
            </w:r>
          </w:p>
        </w:tc>
        <w:tc>
          <w:tcPr>
            <w:tcW w:type="dxa" w:w="170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2,054</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2,054</w:t>
            </w:r>
          </w:p>
        </w:tc>
        <w:tc>
          <w:tcPr>
            <w:tcW w:type="dxa" w:w="181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1,208</w:t>
            </w:r>
          </w:p>
        </w:tc>
      </w:tr>
      <w:tr>
        <w:trPr>
          <w:cantSplit/>
        </w:trPr>
        <w:tc>
          <w:tcPr>
            <w:tcW w:type="dxa" w:w="2891"/>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Within R²</w:t>
            </w:r>
          </w:p>
        </w:tc>
        <w:tc>
          <w:tcPr>
            <w:tcW w:type="dxa" w:w="181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0.0557</w:t>
            </w:r>
          </w:p>
        </w:tc>
        <w:tc>
          <w:tcPr>
            <w:tcW w:type="dxa" w:w="170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0.0538</w:t>
            </w:r>
          </w:p>
        </w:tc>
        <w:tc>
          <w:tcPr>
            <w:tcW w:type="dxa" w:w="181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0.0540</w:t>
            </w:r>
          </w:p>
        </w:tc>
        <w:tc>
          <w:tcPr>
            <w:tcW w:type="dxa" w:w="181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0.0376</w:t>
            </w:r>
          </w:p>
        </w:tc>
      </w:tr>
    </w:tbl>
    <w:p>
      <w:pPr>
        <w:pStyle w:val="TableNote"/>
        <w:widowControl/>
      </w:pPr>
      <w:r>
        <w:rPr>
          <w:b/>
        </w:rPr>
        <w:t>注：</w:t>
      </w:r>
      <w:r>
        <w:t>括号内为公司层面聚类标准误。第(4)列仅保留TotalDigital大于0的公司年度；该列BMIShare未作包含结构性零值的全样本标准化。</w:t>
      </w:r>
    </w:p>
    <w:p>
      <w:pPr>
        <w:keepNext w:val="0"/>
        <w:keepLines w:val="0"/>
        <w:widowControl/>
        <w:jc w:val="both"/>
      </w:pPr>
      <w:r>
        <w:t>在第(1)列中，BMIDisclosure的系数为0.0312（p&lt;0.001），表示在同一模型中控制NonBMIDisclosure后的条件关联；NonBMIDisclosure的系数为-0.0060（p=0.403），表示在同一模型中控制BMIDisclosure后的条件关联。两行是同一联合模型中两个不同解释变量的系数，不是两个重复模型。</w:t>
      </w:r>
    </w:p>
    <w:p>
      <w:pPr>
        <w:keepNext w:val="0"/>
        <w:keepLines w:val="0"/>
        <w:widowControl/>
        <w:jc w:val="both"/>
      </w:pPr>
      <w:r>
        <w:t>BMIDisclosure在所报告规格中的估计为正；NonBMIDisclosure的点估计接近于零并略为负，置信区间包含零。后者不能证明后台IT、基础设施或自动化项目没有经营价值，只表示现有样本没有提供精确的平均关系估计。</w:t>
      </w:r>
    </w:p>
    <w:p>
      <w:pPr>
        <w:keepNext w:val="0"/>
        <w:keepLines w:val="0"/>
        <w:widowControl/>
        <w:jc w:val="both"/>
      </w:pPr>
      <w:r>
        <w:t>类型联合模型与TotalDigital加BMIShare模型不是同一个参数化问题。仅在未标准化且采用共同分母的原始尺度下，令B为BMIDisclosure、N为NonBMIDisclosure、T=B+N为TotalDigital、S=B/T为BMIShare，才有式（7）的恒等关系。</w:t>
      </w:r>
    </w:p>
    <w:p>
      <w:pPr>
        <w:keepNext w:val="0"/>
        <w:keepLines w:val="0"/>
        <w:widowControl/>
        <w:spacing w:before="120" w:after="120"/>
        <w:ind w:firstLine="0"/>
        <w:jc w:val="center"/>
      </w:pPr>
      <m:oMath>
        <m:r>
          <m:rPr>
            <m:sty m:val="p"/>
          </m:rPr>
          <m:t>B = T × S,    N = T × (1 − S),    </m:t>
        </m:r>
        <m:sSub>
          <m:e>
            <m:r>
              <m:rPr>
                <m:sty m:val="p"/>
              </m:rPr>
              <m:t>β</m:t>
            </m:r>
          </m:e>
          <m:sub>
            <m:r>
              <m:rPr>
                <m:sty m:val="p"/>
              </m:rPr>
              <m:t>B</m:t>
            </m:r>
          </m:sub>
        </m:sSub>
        <m:r>
          <m:rPr>
            <m:sty m:val="p"/>
          </m:rPr>
          <m:t>B + </m:t>
        </m:r>
        <m:sSub>
          <m:e>
            <m:r>
              <m:rPr>
                <m:sty m:val="p"/>
              </m:rPr>
              <m:t>β</m:t>
            </m:r>
          </m:e>
          <m:sub>
            <m:r>
              <m:rPr>
                <m:sty m:val="p"/>
              </m:rPr>
              <m:t>N</m:t>
            </m:r>
          </m:sub>
        </m:sSub>
        <m:r>
          <m:rPr>
            <m:sty m:val="p"/>
          </m:rPr>
          <m:t>N = </m:t>
        </m:r>
        <m:sSub>
          <m:e>
            <m:r>
              <m:rPr>
                <m:sty m:val="p"/>
              </m:rPr>
              <m:t>β</m:t>
            </m:r>
          </m:e>
          <m:sub>
            <m:r>
              <m:rPr>
                <m:sty m:val="p"/>
              </m:rPr>
              <m:t>N</m:t>
            </m:r>
          </m:sub>
        </m:sSub>
        <m:r>
          <m:rPr>
            <m:sty m:val="p"/>
          </m:rPr>
          <m:t>T + (</m:t>
        </m:r>
        <m:sSub>
          <m:e>
            <m:r>
              <m:rPr>
                <m:sty m:val="p"/>
              </m:rPr>
              <m:t>β</m:t>
            </m:r>
          </m:e>
          <m:sub>
            <m:r>
              <m:rPr>
                <m:sty m:val="p"/>
              </m:rPr>
              <m:t>B</m:t>
            </m:r>
          </m:sub>
        </m:sSub>
        <m:r>
          <m:rPr>
            <m:sty m:val="p"/>
          </m:rPr>
          <m:t> − </m:t>
        </m:r>
        <m:sSub>
          <m:e>
            <m:r>
              <m:rPr>
                <m:sty m:val="p"/>
              </m:rPr>
              <m:t>β</m:t>
            </m:r>
          </m:e>
          <m:sub>
            <m:r>
              <m:rPr>
                <m:sty m:val="p"/>
              </m:rPr>
              <m:t>N</m:t>
            </m:r>
          </m:sub>
        </m:sSub>
        <m:r>
          <m:rPr>
            <m:sty m:val="p"/>
          </m:rPr>
          <m:t>)(T × S)</m:t>
        </m:r>
      </m:oMath>
      <w:r>
        <w:rPr>
          <w:rFonts w:ascii="Cambria Math" w:hAnsi="Cambria Math"/>
          <w:sz w:val="21"/>
        </w:rPr>
        <w:t xml:space="preserve">    (7)</w:t>
      </w:r>
    </w:p>
    <w:p>
      <w:pPr>
        <w:keepNext w:val="0"/>
        <w:keepLines w:val="0"/>
        <w:widowControl/>
        <w:jc w:val="both"/>
      </w:pPr>
      <w:r>
        <w:t>式（7）说明，若要把类型联合模型严格改写为“总量与构成”，需要同时纳入T与T×S，而不能简单把T和S相加。标准化后的BMI_z、NonBMI_z和TotalDigital_z使用不同的均值与标准差，也不再满足式（7）的简单位数关系。因此，联合模型比较两类披露各自变化的条件系数；TotalDigital加BMIShare模型检验总量与构成比例的加性关系。BMIShare估计不精确，不能据此否定联合模型中的系数差异。</w:t>
      </w:r>
    </w:p>
    <w:p>
      <w:pPr>
        <w:keepNext w:val="0"/>
        <w:keepLines w:val="0"/>
        <w:widowControl/>
        <w:spacing w:before="120" w:after="120"/>
        <w:ind w:firstLine="0"/>
        <w:jc w:val="center"/>
      </w:pPr>
      <m:oMath>
        <m:r>
          <m:rPr>
            <m:sty m:val="p"/>
          </m:rPr>
          <m:t>H₀: </m:t>
        </m:r>
        <m:sSub>
          <m:e>
            <m:r>
              <m:rPr>
                <m:sty m:val="p"/>
              </m:rPr>
              <m:t>β</m:t>
            </m:r>
          </m:e>
          <m:sub>
            <m:r>
              <m:rPr>
                <m:sty m:val="p"/>
              </m:rPr>
              <m:t>B</m:t>
            </m:r>
          </m:sub>
        </m:sSub>
        <m:r>
          <m:rPr>
            <m:sty m:val="p"/>
          </m:rPr>
          <m:t> − </m:t>
        </m:r>
        <m:sSub>
          <m:e>
            <m:r>
              <m:rPr>
                <m:sty m:val="p"/>
              </m:rPr>
              <m:t>β</m:t>
            </m:r>
          </m:e>
          <m:sub>
            <m:r>
              <m:rPr>
                <m:sty m:val="p"/>
              </m:rPr>
              <m:t>N</m:t>
            </m:r>
          </m:sub>
        </m:sSub>
        <m:r>
          <m:rPr>
            <m:sty m:val="p"/>
          </m:rPr>
          <m:t> = 0</m:t>
        </m:r>
      </m:oMath>
      <w:r>
        <w:rPr>
          <w:rFonts w:ascii="Cambria Math" w:hAnsi="Cambria Math"/>
          <w:sz w:val="21"/>
        </w:rPr>
        <w:t xml:space="preserve">    (8)</w:t>
      </w:r>
    </w:p>
    <w:p>
      <w:pPr>
        <w:keepNext/>
        <w:keepLines w:val="0"/>
        <w:widowControl/>
        <w:spacing w:before="140" w:after="60"/>
        <w:ind w:firstLine="0"/>
        <w:jc w:val="center"/>
      </w:pPr>
      <w:r>
        <w:rPr>
          <w:rFonts w:ascii="黑体" w:hAnsi="黑体" w:eastAsia="黑体"/>
          <w:b/>
          <w:sz w:val="20"/>
        </w:rPr>
        <w:t>表7 BMIDisclosure与NonBMIDisclosure系数差异</w:t>
      </w:r>
    </w:p>
    <w:tbl>
      <w:tblPr>
        <w:tblW w:type="pct" w:w="5000"/>
        <w:jc w:val="center"/>
        <w:tblLayout w:type="autofit"/>
        <w:tblLook w:firstColumn="1" w:firstRow="1" w:lastColumn="0" w:lastRow="0" w:noHBand="0" w:noVBand="1" w:val="04A0"/>
      </w:tblPr>
      <w:tblGrid>
        <w:gridCol w:w="1512"/>
        <w:gridCol w:w="1512"/>
        <w:gridCol w:w="1512"/>
        <w:gridCol w:w="1512"/>
        <w:gridCol w:w="1512"/>
        <w:gridCol w:w="1512"/>
      </w:tblGrid>
      <w:tr>
        <w:trPr>
          <w:tblHeader w:val="true"/>
          <w:cantSplit/>
          <w:tblHeader w:val="true"/>
          <w:cantSplit/>
        </w:trPr>
        <w:tc>
          <w:tcPr>
            <w:tcW w:type="dxa" w:w="283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比较尺度</w:t>
            </w:r>
          </w:p>
        </w:tc>
        <w:tc>
          <w:tcPr>
            <w:tcW w:type="dxa" w:w="153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系数差值</w:t>
            </w:r>
          </w:p>
        </w:tc>
        <w:tc>
          <w:tcPr>
            <w:tcW w:type="dxa" w:w="147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标准误</w:t>
            </w:r>
          </w:p>
        </w:tc>
        <w:tc>
          <w:tcPr>
            <w:tcW w:type="dxa" w:w="232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95%置信区间</w:t>
            </w:r>
          </w:p>
        </w:tc>
        <w:tc>
          <w:tcPr>
            <w:tcW w:type="dxa" w:w="130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Wald F</w:t>
            </w:r>
          </w:p>
        </w:tc>
        <w:tc>
          <w:tcPr>
            <w:tcW w:type="dxa" w:w="130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p值</w:t>
            </w:r>
          </w:p>
        </w:tc>
      </w:tr>
      <w:tr>
        <w:trPr>
          <w:cantSplit/>
        </w:trPr>
        <w:tc>
          <w:tcPr>
            <w:tcW w:type="dxa" w:w="28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各变量1个自身标准差</w:t>
            </w:r>
          </w:p>
        </w:tc>
        <w:tc>
          <w:tcPr>
            <w:tcW w:type="dxa" w:w="153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0.0372</w:t>
            </w:r>
          </w:p>
        </w:tc>
        <w:tc>
          <w:tcPr>
            <w:tcW w:type="dxa" w:w="147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0.0120</w:t>
            </w:r>
          </w:p>
        </w:tc>
        <w:tc>
          <w:tcPr>
            <w:tcW w:type="dxa" w:w="232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[0.0137, 0.0607]</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9.637</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0.0019</w:t>
            </w:r>
          </w:p>
        </w:tc>
      </w:tr>
      <w:tr>
        <w:trPr>
          <w:cantSplit/>
        </w:trPr>
        <w:tc>
          <w:tcPr>
            <w:tcW w:type="dxa" w:w="2835"/>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6"/>
              </w:rPr>
              <w:t>每1,000个有效句子增加1句</w:t>
            </w:r>
          </w:p>
        </w:tc>
        <w:tc>
          <w:tcPr>
            <w:tcW w:type="dxa" w:w="153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0.0177</w:t>
            </w:r>
          </w:p>
        </w:tc>
        <w:tc>
          <w:tcPr>
            <w:tcW w:type="dxa" w:w="147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0.0058</w:t>
            </w:r>
          </w:p>
        </w:tc>
        <w:tc>
          <w:tcPr>
            <w:tcW w:type="dxa" w:w="232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[0.0064, 0.0290]</w:t>
            </w:r>
          </w:p>
        </w:tc>
        <w:tc>
          <w:tcPr>
            <w:tcW w:type="dxa" w:w="130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9.461</w:t>
            </w:r>
          </w:p>
        </w:tc>
        <w:tc>
          <w:tcPr>
            <w:tcW w:type="dxa" w:w="130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0.0021</w:t>
            </w:r>
          </w:p>
        </w:tc>
      </w:tr>
    </w:tbl>
    <w:p>
      <w:pPr>
        <w:keepNext w:val="0"/>
        <w:keepLines w:val="0"/>
        <w:widowControl/>
        <w:jc w:val="both"/>
      </w:pPr>
      <w:r>
        <w:t>标准化模型比较的是两项指标各增加1个自身标准差时的条件关联。BMIDisclosure与NonBMIDisclosure的系数差值为0.0372，标准误为0.0120，p=0.0019。这一检验拒绝两项标准化系数相等的原假设，但结果仍会受到两项指标各自离散程度的影响。</w:t>
      </w:r>
    </w:p>
    <w:p>
      <w:pPr>
        <w:keepNext w:val="0"/>
        <w:keepLines w:val="0"/>
        <w:widowControl/>
        <w:jc w:val="both"/>
      </w:pPr>
      <w:r>
        <w:t>共同尺度模型把两项指标都换算为每1,000个有效句子的句数，以比较相同句数变化对应的系数。两项系数之差为0.0177，标准误为0.0058，95%置信区间为[0.0064, 0.0290]，p=0.0021。结果与标准化比较一致，说明差异并非只由标准差尺度不同造成。在选择后的报告规格中，两项检验均与H2一致；它们不能证明商业模式项目在经营上必然优于一般技术项目。</w:t>
      </w:r>
    </w:p>
    <w:p>
      <w:pPr>
        <w:pStyle w:val="Heading2"/>
        <w:keepNext/>
        <w:keepLines/>
        <w:widowControl/>
      </w:pPr>
      <w:r>
        <w:rPr>
          <w:color w:val="000000"/>
        </w:rPr>
        <w:t>5.3 总量、构成与经济量级</w:t>
      </w:r>
    </w:p>
    <w:p>
      <w:pPr>
        <w:keepNext/>
        <w:keepLines w:val="0"/>
        <w:widowControl/>
        <w:jc w:val="center"/>
      </w:pPr>
      <w:r>
        <w:rPr>
          <w:b/>
        </w:rPr>
        <w:t>表6第(2)列显示，TotalDigital单独进入时系数为0.0233（p=0.0008）。第(3)列同时加入TotalDigital和BMIShare后，TotalDigital的估计仍为正，BMIShare系数为0.0049（p=0.195）。第(4)列只保留存在实质性数字披露的公司年度，BMIShare系数为0.0109（p=0.551），同样无法与零精确区分。</w:t>
      </w:r>
    </w:p>
    <w:p>
      <w:pPr>
        <w:keepNext w:val="0"/>
        <w:keepLines w:val="0"/>
        <w:widowControl/>
        <w:jc w:val="both"/>
      </w:pPr>
      <w:r>
        <w:t>这些结果表明，不同披露类型的系数并不相同；但在给定实质性数字披露总量后，现有数据没有提供BMI内容占比与未来资产周转率可区分于零的关系。总披露量本身仍包含信息，因此结论不能概括为“只有BMI披露重要”，也不能解释为BMI占比越高越好。</w:t>
      </w:r>
    </w:p>
    <w:p>
      <w:pPr>
        <w:keepNext w:val="0"/>
        <w:keepLines w:val="0"/>
        <w:widowControl/>
        <w:jc w:val="both"/>
      </w:pPr>
      <w:r>
        <w:t>基础面板中商业模式导向披露的1个标准差约等于每1,000个有效句子增加2.11句。模型对应的资产周转率条件差异为0.0302，约为因变量标准差的0.063。主样本从第25百分位到第75百分位的变化对应0.0115的条件差异，约为样本均值的1.44%，说明估计量级有限。</w:t>
      </w:r>
    </w:p>
    <w:p>
      <w:pPr>
        <w:keepNext w:val="0"/>
        <w:keepLines w:val="0"/>
        <w:widowControl/>
        <w:jc w:val="both"/>
      </w:pPr>
      <w:r>
        <w:t>把指标改为是否出现商业模式导向句子后，系数为0.0166（原始p=0.062）。在至少出现一句此类披露的公司年度中，披露强度系数为0.0383（原始p=0.0006）。两项规格的样本和尺度不同，只能说明主结果并非完全由零值与非零值之别形成，不能直接比较系数大小。</w:t>
      </w:r>
    </w:p>
    <w:p>
      <w:pPr>
        <w:pStyle w:val="Heading1"/>
        <w:keepNext/>
        <w:keepLines/>
        <w:pageBreakBefore w:val="0"/>
        <w:widowControl/>
      </w:pPr>
      <w:r>
        <w:rPr>
          <w:color w:val="000000"/>
        </w:rPr>
        <w:t>6 后续销售、资产与盈利结果</w:t>
      </w:r>
    </w:p>
    <w:p>
      <w:pPr>
        <w:keepNext w:val="0"/>
        <w:keepLines w:val="0"/>
        <w:widowControl/>
        <w:jc w:val="both"/>
      </w:pPr>
      <w:r>
        <w:t>销售模型以未来对数销售额为因变量并控制基期对数销售额。商业模式导向披露在t+1、t+2和t+3的系数分别为0.0240、0.0442和0.0305；相应原始p值为0.012、0.0005和0.098。t+2系数对应约4.5%的条件差异。未来对数总资产模型在t+1、t+2和t+3的系数分别为0.0001、-0.0028和0.0032，均无法与零精确区分。</w:t>
      </w:r>
    </w:p>
    <w:p>
      <w:pPr>
        <w:keepNext w:val="0"/>
        <w:keepLines w:val="0"/>
        <w:widowControl/>
        <w:jc w:val="both"/>
      </w:pPr>
      <w:r>
        <w:t>t+2 ROA模型中的系数为0.0002（SE=0.0026，p=0.949），没有提供资产收益率同步提高的证据。ROA还受费用确认、资本结构和非经营项目影响，区间包含零也不等于真实关系为零。</w:t>
      </w:r>
    </w:p>
    <w:p>
      <w:pPr>
        <w:keepNext w:val="0"/>
        <w:keepLines w:val="0"/>
        <w:widowControl/>
        <w:jc w:val="both"/>
      </w:pPr>
      <w:r>
        <w:t>t+2营业利润率模型中的系数为0.0067（SE=0.0081，p=0.412），同样无法与零精确区分。销售结果、资产结果和盈利结果来自略有不同的样本；现有证据只能显示销售端较一致的伴随关系，不能据此确认传导机制或整体绩效改善。</w:t>
      </w:r>
    </w:p>
    <w:p>
      <w:pPr>
        <w:keepNext/>
        <w:keepLines w:val="0"/>
        <w:widowControl/>
        <w:spacing w:before="140" w:after="60"/>
        <w:ind w:firstLine="0"/>
        <w:jc w:val="center"/>
      </w:pPr>
      <w:r>
        <w:rPr>
          <w:rFonts w:ascii="黑体" w:hAnsi="黑体" w:eastAsia="黑体"/>
          <w:b/>
          <w:sz w:val="20"/>
        </w:rPr>
        <w:t>表8 后续销售、资产与盈利结果</w:t>
      </w:r>
    </w:p>
    <w:tbl>
      <w:tblPr>
        <w:tblW w:type="pct" w:w="5000"/>
        <w:jc w:val="center"/>
        <w:tblLayout w:type="autofit"/>
        <w:tblLook w:firstColumn="1" w:firstRow="1" w:lastColumn="0" w:lastRow="0" w:noHBand="0" w:noVBand="1" w:val="04A0"/>
      </w:tblPr>
      <w:tblGrid>
        <w:gridCol w:w="1296"/>
        <w:gridCol w:w="1296"/>
        <w:gridCol w:w="1296"/>
        <w:gridCol w:w="1296"/>
        <w:gridCol w:w="1296"/>
        <w:gridCol w:w="1296"/>
        <w:gridCol w:w="1296"/>
      </w:tblGrid>
      <w:tr>
        <w:trPr>
          <w:tblHeader w:val="true"/>
          <w:cantSplit/>
          <w:tblHeader w:val="true"/>
          <w:cantSplit/>
          <w:tblHeader w:val="true"/>
          <w:cantSplit/>
        </w:trPr>
        <w:tc>
          <w:tcPr>
            <w:tcW w:type="dxa" w:w="1928"/>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5"/>
              </w:rPr>
              <w:t>变量</w:t>
            </w:r>
          </w:p>
        </w:tc>
        <w:tc>
          <w:tcPr>
            <w:tcW w:type="dxa" w:w="119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5"/>
              </w:rPr>
              <w:t>t+1销售</w:t>
            </w:r>
          </w:p>
        </w:tc>
        <w:tc>
          <w:tcPr>
            <w:tcW w:type="dxa" w:w="119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5"/>
              </w:rPr>
              <w:t>t+2销售</w:t>
            </w:r>
          </w:p>
        </w:tc>
        <w:tc>
          <w:tcPr>
            <w:tcW w:type="dxa" w:w="119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5"/>
              </w:rPr>
              <w:t>t+3销售</w:t>
            </w:r>
          </w:p>
        </w:tc>
        <w:tc>
          <w:tcPr>
            <w:tcW w:type="dxa" w:w="119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5"/>
              </w:rPr>
              <w:t>t+2资产</w:t>
            </w:r>
          </w:p>
        </w:tc>
        <w:tc>
          <w:tcPr>
            <w:tcW w:type="dxa" w:w="119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5"/>
              </w:rPr>
              <w:t>t+2 ROA</w:t>
            </w:r>
          </w:p>
        </w:tc>
        <w:tc>
          <w:tcPr>
            <w:tcW w:type="dxa" w:w="119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5"/>
              </w:rPr>
              <w:t>t+2营业利润率</w:t>
            </w:r>
          </w:p>
        </w:tc>
      </w:tr>
      <w:tr>
        <w:trPr>
          <w:cantSplit/>
        </w:trPr>
        <w:tc>
          <w:tcPr>
            <w:tcW w:type="dxa" w:w="192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5"/>
              </w:rPr>
              <w:t>BMIDisclosure（z）</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0.0240**</w:t>
              <w:br/>
              <w:t>(0.0095)</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0.0442***</w:t>
              <w:br/>
              <w:t>(0.0127)</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0.0305*</w:t>
              <w:br/>
              <w:t>(0.0184)</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-0.0028</w:t>
              <w:br/>
              <w:t>(0.0085)</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0.0002</w:t>
              <w:br/>
              <w:t>(0.0026)</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0.0067</w:t>
              <w:br/>
              <w:t>(0.0081)</w:t>
            </w:r>
          </w:p>
        </w:tc>
      </w:tr>
      <w:tr>
        <w:trPr>
          <w:cantSplit/>
        </w:trPr>
        <w:tc>
          <w:tcPr>
            <w:tcW w:type="dxa" w:w="192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5"/>
              </w:rPr>
              <w:t>公司固定效应</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r>
      <w:tr>
        <w:trPr>
          <w:cantSplit/>
        </w:trPr>
        <w:tc>
          <w:tcPr>
            <w:tcW w:type="dxa" w:w="192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5"/>
              </w:rPr>
              <w:t>年份固定效应</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r>
      <w:tr>
        <w:trPr>
          <w:cantSplit/>
        </w:trPr>
        <w:tc>
          <w:tcPr>
            <w:tcW w:type="dxa" w:w="192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5"/>
              </w:rPr>
              <w:t>基准控制变量</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是</w:t>
            </w:r>
          </w:p>
        </w:tc>
      </w:tr>
      <w:tr>
        <w:trPr>
          <w:cantSplit/>
        </w:trPr>
        <w:tc>
          <w:tcPr>
            <w:tcW w:type="dxa" w:w="1928"/>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5"/>
              </w:rPr>
              <w:t>基期同类结果</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销售</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销售</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销售</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资产</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ROA</w:t>
            </w:r>
          </w:p>
        </w:tc>
        <w:tc>
          <w:tcPr>
            <w:tcW w:type="dxa" w:w="119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5"/>
              </w:rPr>
              <w:t>营业利润率</w:t>
            </w:r>
          </w:p>
        </w:tc>
      </w:tr>
      <w:tr>
        <w:trPr>
          <w:cantSplit/>
        </w:trPr>
        <w:tc>
          <w:tcPr>
            <w:tcW w:type="dxa" w:w="1928"/>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5"/>
              </w:rPr>
              <w:t>观测值</w:t>
            </w:r>
          </w:p>
        </w:tc>
        <w:tc>
          <w:tcPr>
            <w:tcW w:type="dxa" w:w="119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5"/>
              </w:rPr>
              <w:t>16,250</w:t>
            </w:r>
          </w:p>
        </w:tc>
        <w:tc>
          <w:tcPr>
            <w:tcW w:type="dxa" w:w="119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5"/>
              </w:rPr>
              <w:t>13,992</w:t>
            </w:r>
          </w:p>
        </w:tc>
        <w:tc>
          <w:tcPr>
            <w:tcW w:type="dxa" w:w="119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5"/>
              </w:rPr>
              <w:t>11,865</w:t>
            </w:r>
          </w:p>
        </w:tc>
        <w:tc>
          <w:tcPr>
            <w:tcW w:type="dxa" w:w="119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5"/>
              </w:rPr>
              <w:t>14,033</w:t>
            </w:r>
          </w:p>
        </w:tc>
        <w:tc>
          <w:tcPr>
            <w:tcW w:type="dxa" w:w="119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5"/>
              </w:rPr>
              <w:t>13,961</w:t>
            </w:r>
          </w:p>
        </w:tc>
        <w:tc>
          <w:tcPr>
            <w:tcW w:type="dxa" w:w="119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5"/>
              </w:rPr>
              <w:t>13,982</w:t>
            </w:r>
          </w:p>
        </w:tc>
      </w:tr>
    </w:tbl>
    <w:p>
      <w:pPr>
        <w:pStyle w:val="TableNote"/>
        <w:widowControl/>
      </w:pPr>
      <w:r>
        <w:rPr>
          <w:b/>
        </w:rPr>
        <w:t>注：</w:t>
      </w:r>
      <w:r>
        <w:t>销售与资产使用对数水平并控制基期同类结果。括号内为公司层面聚类标准误。各列样本量略有差异，主要源于不同未来结果变量、对应基期结果和模型控制变量的可得性；缺失值不作零值填补，并按各列实际可用样本实施固定效应估计与singleton处理。</w:t>
      </w:r>
    </w:p>
    <w:p>
      <w:pPr>
        <w:keepNext w:val="0"/>
        <w:keepLines w:val="0"/>
        <w:widowControl/>
        <w:jc w:val="both"/>
      </w:pPr>
      <w:r>
        <w:t>这些估计与销售端扩展相容，却不能证明销售增长是资产周转率变化的传导机制。项目投入、客户获取成本、平台运营费用、价格竞争、开发支出费用化和未观察到的需求景气都可能同时影响结果，当前数据无法在这些解释之间作出判别。</w:t>
      </w:r>
    </w:p>
    <w:p>
      <w:pPr>
        <w:pStyle w:val="Heading1"/>
        <w:keepNext/>
        <w:keepLines/>
        <w:pageBreakBefore w:val="0"/>
        <w:widowControl/>
      </w:pPr>
      <w:r>
        <w:rPr>
          <w:color w:val="000000"/>
        </w:rPr>
        <w:t>7 稳健性分析与识别限制</w:t>
      </w:r>
    </w:p>
    <w:p>
      <w:pPr>
        <w:pStyle w:val="Heading2"/>
        <w:keepNext/>
        <w:keepLines/>
        <w:widowControl/>
      </w:pPr>
      <w:r>
        <w:rPr>
          <w:color w:val="000000"/>
        </w:rPr>
        <w:t>7.1 固定效应与新增控制变量</w:t>
      </w:r>
    </w:p>
    <w:p>
      <w:pPr>
        <w:keepNext w:val="0"/>
        <w:keepLines w:val="0"/>
        <w:widowControl/>
        <w:jc w:val="both"/>
      </w:pPr>
      <w:r>
        <w:t>以行业×年份固定效应替代普通年份固定效应后，BMIDisclosure系数为0.0278（p&lt;0.001）；使用市场×年份固定效应后，系数为0.0304（p&lt;0.001）。这两项结果降低了特定行业或KOSPI、KOSDAQ市场在某一年共同变化解释全部主关系的可能性。</w:t>
      </w:r>
    </w:p>
    <w:p>
      <w:pPr>
        <w:keepNext w:val="0"/>
        <w:keepLines w:val="0"/>
        <w:widowControl/>
        <w:jc w:val="both"/>
      </w:pPr>
      <w:r>
        <w:t>扩展控制仅保留科目名称与标准账户标签一致的无形资产、PPE、经营现金流和资本开支记录。在四项科目均可用的8,699个公司年度中，不加入扩展变量时BMIDisclosure系数为0.0260，加入后为0.0252。同样本比较显示系数变化较小，但该结果仅用于检验可观察财务科目是否解释主关系。</w:t>
      </w:r>
    </w:p>
    <w:p>
      <w:pPr>
        <w:keepNext w:val="0"/>
        <w:keepLines w:val="0"/>
        <w:widowControl/>
        <w:jc w:val="both"/>
      </w:pPr>
      <w:r>
        <w:t>OpenDART研发强度只有546个公司年度和93家公司可用。在这个小样本中，不加入研发强度时商业模式导向披露系数为0.0188（p=0.476），加入后为0.0211（p=0.428），两项估计均无法与零精确区分。由于样本规模和企业构成与主样本差异很大，这一分析只能说明研发字段覆盖不足，不能用于确认或否定主关系。</w:t>
      </w:r>
    </w:p>
    <w:p>
      <w:pPr>
        <w:keepNext w:val="0"/>
        <w:keepLines w:val="0"/>
        <w:widowControl/>
        <w:jc w:val="both"/>
      </w:pPr>
      <w:r>
        <w:t>滞后销售增长检验将主规格限制在SalesGrowth(t−1)可观察的共同样本。共同样本基准中的BMIDisclosure系数为0.0282，加入滞后项后为0.0282；两者的精确差异为0.00001909。SalesGrowth(t−1)自身的系数为0.0126（SE=0.0072，p=0.080），BMIDisclosure结果基本稳定。该检验表明主关系不完全由披露前已经实现的短期销售增长趋势解释，但不能排除管理层利用尚未反映在历史财务数据中的内部信息进行披露。</w:t>
      </w:r>
    </w:p>
    <w:p>
      <w:pPr>
        <w:pStyle w:val="Heading2"/>
        <w:keepNext/>
        <w:keepLines/>
        <w:widowControl/>
      </w:pPr>
      <w:r>
        <w:rPr>
          <w:color w:val="000000"/>
        </w:rPr>
        <w:t>7.2 替代测量与模型设定</w:t>
      </w:r>
    </w:p>
    <w:p>
      <w:pPr>
        <w:keepNext w:val="0"/>
        <w:keepLines w:val="0"/>
        <w:widowControl/>
        <w:jc w:val="both"/>
      </w:pPr>
      <w:r>
        <w:t>以log(1+BMI句数)替代比例指标，并单独控制报告篇幅时，系数为0.0222（p&lt;0.001）。这说明结果不完全依赖“BMI句数/总有效句子数”这一特定分母。二元出现指标和仅保留正值样本的强度指标也在表10中报告，用于分别观察广延边际与集约边际。</w:t>
      </w:r>
    </w:p>
    <w:p>
      <w:pPr>
        <w:keepNext w:val="0"/>
        <w:keepLines w:val="0"/>
        <w:widowControl/>
        <w:jc w:val="both"/>
      </w:pPr>
      <w:r>
        <w:t>以t+2与t的资产周转率差值为因变量，并移除基期资产周转率后，BMIDisclosure系数为0.0232（p=0.0034）。变化模型仍为正，说明主结果不是只由未来水平与基期水平之间的机械相关造成。不过，差分会放大测量误差，也不能消除随时间变化的遗漏因素。</w:t>
      </w:r>
    </w:p>
    <w:p>
      <w:pPr>
        <w:keepNext w:val="0"/>
        <w:keepLines w:val="0"/>
        <w:widowControl/>
        <w:jc w:val="both"/>
      </w:pPr>
      <w:r>
        <w:t>在类型联合模型的13,980个公司年度中，BMIDisclosure与NonBMIDisclosure的原始混合相关系数为0.472，企业内去均值后的相关系数降至0.185。在吸收公司和年份固定效应后，BMI与NonBMI的VIF分别为1.037和1.034。这些数值未显示严重多重共线性，联合模型中的类型差异并非由极端共线性驱动；H2仍以式（8）的Wald系数相等检验为直接检验。</w:t>
      </w:r>
    </w:p>
    <w:p>
      <w:pPr>
        <w:pStyle w:val="Heading2"/>
        <w:keepNext/>
        <w:keepLines/>
        <w:widowControl/>
      </w:pPr>
      <w:r>
        <w:rPr>
          <w:color w:val="000000"/>
        </w:rPr>
        <w:t>7.3 前后时点与共同样本</w:t>
      </w:r>
    </w:p>
    <w:p>
      <w:pPr>
        <w:keepNext/>
        <w:keepLines w:val="0"/>
        <w:widowControl/>
        <w:spacing w:before="140" w:after="60"/>
        <w:ind w:firstLine="0"/>
        <w:jc w:val="center"/>
      </w:pPr>
      <w:r>
        <w:rPr>
          <w:rFonts w:ascii="黑体" w:hAnsi="黑体" w:eastAsia="黑体"/>
          <w:b/>
          <w:sz w:val="20"/>
        </w:rPr>
        <w:t>表9 前后时点与共同样本检验</w:t>
      </w:r>
    </w:p>
    <w:tbl>
      <w:tblPr>
        <w:tblW w:type="pct" w:w="5000"/>
        <w:jc w:val="center"/>
        <w:tblLayout w:type="autofit"/>
        <w:tblLook w:firstColumn="1" w:firstRow="1" w:lastColumn="0" w:lastRow="0" w:noHBand="0" w:noVBand="1" w:val="04A0"/>
      </w:tblPr>
      <w:tblGrid>
        <w:gridCol w:w="1296"/>
        <w:gridCol w:w="1296"/>
        <w:gridCol w:w="1296"/>
        <w:gridCol w:w="1296"/>
        <w:gridCol w:w="1296"/>
        <w:gridCol w:w="1296"/>
        <w:gridCol w:w="1296"/>
      </w:tblGrid>
      <w:tr>
        <w:trPr>
          <w:tblHeader w:val="true"/>
          <w:cantSplit/>
          <w:tblHeader w:val="true"/>
          <w:cantSplit/>
        </w:trPr>
        <w:tc>
          <w:tcPr>
            <w:tcW w:type="dxa" w:w="136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结果时点</w:t>
            </w:r>
          </w:p>
        </w:tc>
        <w:tc>
          <w:tcPr>
            <w:tcW w:type="dxa" w:w="1928"/>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时点样本系数</w:t>
            </w:r>
          </w:p>
        </w:tc>
        <w:tc>
          <w:tcPr>
            <w:tcW w:type="dxa" w:w="113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p值</w:t>
            </w:r>
          </w:p>
        </w:tc>
        <w:tc>
          <w:tcPr>
            <w:tcW w:type="dxa" w:w="130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N</w:t>
            </w:r>
          </w:p>
        </w:tc>
        <w:tc>
          <w:tcPr>
            <w:tcW w:type="dxa" w:w="1928"/>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共同样本系数</w:t>
            </w:r>
          </w:p>
        </w:tc>
        <w:tc>
          <w:tcPr>
            <w:tcW w:type="dxa" w:w="113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p值</w:t>
            </w:r>
          </w:p>
        </w:tc>
        <w:tc>
          <w:tcPr>
            <w:tcW w:type="dxa" w:w="130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N</w:t>
            </w:r>
          </w:p>
        </w:tc>
      </w:tr>
      <w:tr>
        <w:trPr>
          <w:cantSplit/>
        </w:trPr>
        <w:tc>
          <w:tcPr>
            <w:tcW w:type="dxa" w:w="136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t-2</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0.0036</w:t>
              <w:br/>
              <w:t>(0.0064)</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0.568</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14,140</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0.0041</w:t>
              <w:br/>
              <w:t>(0.0076)</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0.590</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7,959</w:t>
            </w:r>
          </w:p>
        </w:tc>
      </w:tr>
      <w:tr>
        <w:trPr>
          <w:cantSplit/>
        </w:trPr>
        <w:tc>
          <w:tcPr>
            <w:tcW w:type="dxa" w:w="136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t-1</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0.0020</w:t>
              <w:br/>
              <w:t>(0.0038)</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0.598</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16,418</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0.0022</w:t>
              <w:br/>
              <w:t>(0.0083)</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0.789</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7,959</w:t>
            </w:r>
          </w:p>
        </w:tc>
      </w:tr>
      <w:tr>
        <w:trPr>
          <w:cantSplit/>
        </w:trPr>
        <w:tc>
          <w:tcPr>
            <w:tcW w:type="dxa" w:w="136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t</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0.0075</w:t>
              <w:br/>
              <w:t>(0.0055)</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0.170</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18,626</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w:t>
              <w:br/>
              <w:t>(0.0071)</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1.000</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7,959</w:t>
            </w:r>
          </w:p>
        </w:tc>
      </w:tr>
      <w:tr>
        <w:trPr>
          <w:cantSplit/>
        </w:trPr>
        <w:tc>
          <w:tcPr>
            <w:tcW w:type="dxa" w:w="136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t+1</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0.0150***</w:t>
              <w:br/>
              <w:t>(0.0048)</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16,246</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0.0187**</w:t>
              <w:br/>
              <w:t>(0.0085)</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0.028</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7,959</w:t>
            </w:r>
          </w:p>
        </w:tc>
      </w:tr>
      <w:tr>
        <w:trPr>
          <w:cantSplit/>
        </w:trPr>
        <w:tc>
          <w:tcPr>
            <w:tcW w:type="dxa" w:w="136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t+2</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0.0302***</w:t>
              <w:br/>
              <w:t>(0.0069)</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&lt;0.001</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c>
          <w:tcPr>
            <w:tcW w:type="dxa" w:w="192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0.0254***</w:t>
              <w:br/>
              <w:t>(0.0080)</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7,959</w:t>
            </w:r>
          </w:p>
        </w:tc>
      </w:tr>
      <w:tr>
        <w:trPr>
          <w:cantSplit/>
        </w:trPr>
        <w:tc>
          <w:tcPr>
            <w:tcW w:type="dxa" w:w="1361"/>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6"/>
              </w:rPr>
              <w:t>t+3</w:t>
            </w:r>
          </w:p>
        </w:tc>
        <w:tc>
          <w:tcPr>
            <w:tcW w:type="dxa" w:w="1928"/>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0.0276***</w:t>
              <w:br/>
              <w:t>(0.0098)</w:t>
            </w:r>
          </w:p>
        </w:tc>
        <w:tc>
          <w:tcPr>
            <w:tcW w:type="dxa" w:w="113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0.005</w:t>
            </w:r>
          </w:p>
        </w:tc>
        <w:tc>
          <w:tcPr>
            <w:tcW w:type="dxa" w:w="130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11,857</w:t>
            </w:r>
          </w:p>
        </w:tc>
        <w:tc>
          <w:tcPr>
            <w:tcW w:type="dxa" w:w="1928"/>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0.0216**</w:t>
              <w:br/>
              <w:t>(0.0088)</w:t>
            </w:r>
          </w:p>
        </w:tc>
        <w:tc>
          <w:tcPr>
            <w:tcW w:type="dxa" w:w="113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0.014</w:t>
            </w:r>
          </w:p>
        </w:tc>
        <w:tc>
          <w:tcPr>
            <w:tcW w:type="dxa" w:w="130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7,959</w:t>
            </w:r>
          </w:p>
        </w:tc>
      </w:tr>
    </w:tbl>
    <w:p>
      <w:pPr>
        <w:pStyle w:val="TableNote"/>
        <w:widowControl/>
      </w:pPr>
      <w:r>
        <w:rPr>
          <w:b/>
        </w:rPr>
        <w:t>注：</w:t>
      </w:r>
      <w:r>
        <w:t>括号内为公司层面聚类标准误。共同样本对所有结果时点固定为同一组公司年度，并为保持六个时点的统一规格而不纳入基期资产周转率。</w:t>
      </w:r>
    </w:p>
    <w:p>
      <w:pPr>
        <w:keepNext w:val="0"/>
        <w:keepLines w:val="0"/>
        <w:widowControl/>
        <w:jc w:val="both"/>
      </w:pPr>
      <w:r>
        <w:t>时点样本和7,959个公司年度的共同样本均显示：t−2、t−1和t的估计不精确，t+1、t+2和t+3的系数为正。共同样本结果说明这一时间形状不完全由不同预测窗口的样本构成造成，但共同样本规格与主模型并不完全相同。该结果不能排除管理层基于未来销售预期进行前瞻性披露，也不能消除反向因果和随时间变化的遗漏变量；它不是DID事件研究或平行趋势检验。</w:t>
      </w:r>
    </w:p>
    <w:p>
      <w:pPr>
        <w:pStyle w:val="Heading2"/>
        <w:keepNext/>
        <w:keepLines/>
        <w:widowControl/>
      </w:pPr>
      <w:r>
        <w:rPr>
          <w:color w:val="000000"/>
        </w:rPr>
        <w:t>7.4 样本留存与动态面板限制</w:t>
      </w:r>
    </w:p>
    <w:p>
      <w:pPr>
        <w:keepNext w:val="0"/>
        <w:keepLines w:val="0"/>
        <w:widowControl/>
        <w:jc w:val="both"/>
      </w:pPr>
      <w:r>
        <w:t>样本留存分析排除尚无机会观察t+2结果的2024—2025年报告。在可比较范围内，t+2结果可观察率为97.9%，商业模式导向披露对可观察性的线性概率模型系数为0.0028（p=0.173）。稳定并截尾后的逆概率权重回归系数为0.0306（SE=0.0070，p&lt;0.001）。不过，可观察与缺失样本在若干基期经营特征上仍有明显差异，逆概率权重也只能调整已观察变量；结论应限于完整案例及相应加权敏感性范围。</w:t>
      </w:r>
    </w:p>
    <w:p>
      <w:pPr>
        <w:keepNext w:val="0"/>
        <w:keepLines w:val="0"/>
        <w:widowControl/>
        <w:jc w:val="both"/>
      </w:pPr>
      <w:r>
        <w:t>BMIDisclosure具有较高年度持续性，固定效应估计依赖相对有限但并非为零的企业内变化。同时，主模型包含基期资产周转率与公司固定效应，在有限时间维度下面临动态固定效应偏误风险（Nickell, 1981）。企业聚类标准误不能消除这种系数偏误，其对BMIDisclosure系数的方向和大小也不能仅由现有结果确定。本文没有机械引入System GMM，因为缺乏可信外生识别来源，内部滞后工具还可能造成弱工具、工具膨胀和对内生变量的过度拟合。变化模型仅用于检验结果是否完全依赖动态水平设定，不是对Nickell偏误的完全校正。</w:t>
      </w:r>
    </w:p>
    <w:p>
      <w:pPr>
        <w:keepNext/>
        <w:keepLines w:val="0"/>
        <w:widowControl/>
        <w:spacing w:before="140" w:after="60"/>
        <w:ind w:firstLine="0"/>
        <w:jc w:val="center"/>
      </w:pPr>
      <w:r>
        <w:rPr>
          <w:rFonts w:ascii="黑体" w:hAnsi="黑体" w:eastAsia="黑体"/>
          <w:b/>
          <w:sz w:val="20"/>
        </w:rPr>
        <w:t>表10 核心稳健性与边界检验汇总</w:t>
      </w:r>
    </w:p>
    <w:tbl>
      <w:tblPr>
        <w:tblW w:type="pct" w:w="5000"/>
        <w:jc w:val="center"/>
        <w:tblLayout w:type="autofit"/>
        <w:tblLook w:firstColumn="1" w:firstRow="1" w:lastColumn="0" w:lastRow="0" w:noHBand="0" w:noVBand="1" w:val="04A0"/>
      </w:tblPr>
      <w:tblGrid>
        <w:gridCol w:w="2268"/>
        <w:gridCol w:w="2268"/>
        <w:gridCol w:w="2268"/>
        <w:gridCol w:w="2268"/>
      </w:tblGrid>
      <w:tr>
        <w:trPr>
          <w:tblHeader w:val="true"/>
          <w:cantSplit/>
          <w:tblHeader w:val="true"/>
          <w:cantSplit/>
        </w:trPr>
        <w:tc>
          <w:tcPr>
            <w:tcW w:type="dxa" w:w="453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规格</w:t>
            </w:r>
          </w:p>
        </w:tc>
        <w:tc>
          <w:tcPr>
            <w:tcW w:type="dxa" w:w="283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核心系数（聚类标准误）</w:t>
            </w:r>
          </w:p>
        </w:tc>
        <w:tc>
          <w:tcPr>
            <w:tcW w:type="dxa" w:w="124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p值</w:t>
            </w:r>
          </w:p>
        </w:tc>
        <w:tc>
          <w:tcPr>
            <w:tcW w:type="dxa" w:w="141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N</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公司FE+行业×年份FE</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0.0278***</w:t>
              <w:br/>
              <w:t>(0.0066)</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&lt;0.001</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13,956</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公司FE+市场×年份FE</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0.0304***</w:t>
              <w:br/>
              <w:t>(0.0069)</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&lt;0.001</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资产周转率变化模型</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0.0232***</w:t>
              <w:br/>
              <w:t>(0.0079)</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0.003</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log(1+BMI句数)+篇幅</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0.0222***</w:t>
              <w:br/>
              <w:t>(0.0054)</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&lt;0.001</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是否出现BMI句子</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0.0166*</w:t>
              <w:br/>
              <w:t>(0.0089)</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0.062</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正值样本内披露强度</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0.0383***</w:t>
              <w:br/>
              <w:t>(0.0111)</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&lt;0.001</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3,811</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高覆盖控制同样本基准</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0.0260***</w:t>
              <w:br/>
              <w:t>(0.0069)</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&lt;0.001</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8,699</w:t>
            </w:r>
          </w:p>
        </w:tc>
      </w:tr>
      <w:tr>
        <w:trPr>
          <w:cantSplit/>
        </w:trPr>
        <w:tc>
          <w:tcPr>
            <w:tcW w:type="dxa" w:w="453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高覆盖控制同样本扩展</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0.0252***</w:t>
              <w:br/>
              <w:t>(0.0069)</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&lt;0.001</w:t>
            </w:r>
          </w:p>
        </w:tc>
        <w:tc>
          <w:tcPr>
            <w:tcW w:type="dxa" w:w="141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8,699</w:t>
            </w:r>
          </w:p>
        </w:tc>
      </w:tr>
      <w:tr>
        <w:trPr>
          <w:cantSplit/>
        </w:trPr>
        <w:tc>
          <w:tcPr>
            <w:tcW w:type="dxa" w:w="4535"/>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样本留存IPW</w:t>
            </w:r>
          </w:p>
        </w:tc>
        <w:tc>
          <w:tcPr>
            <w:tcW w:type="dxa" w:w="2835"/>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0.0306***</w:t>
              <w:br/>
              <w:t>(0.0070)</w:t>
            </w:r>
          </w:p>
        </w:tc>
        <w:tc>
          <w:tcPr>
            <w:tcW w:type="dxa" w:w="124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&lt;0.001</w:t>
            </w:r>
          </w:p>
        </w:tc>
        <w:tc>
          <w:tcPr>
            <w:tcW w:type="dxa" w:w="141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13,980</w:t>
            </w:r>
          </w:p>
        </w:tc>
      </w:tr>
    </w:tbl>
    <w:p>
      <w:pPr>
        <w:pStyle w:val="TableNote"/>
        <w:widowControl/>
      </w:pPr>
      <w:r>
        <w:rPr>
          <w:b/>
        </w:rPr>
        <w:t>注：</w:t>
      </w:r>
      <w:r>
        <w:t>括号内为公司层面聚类标准误。扩展控制规格仅使用科目名称与标准账户标签一致的记录。</w:t>
      </w:r>
    </w:p>
    <w:p>
      <w:pPr>
        <w:pStyle w:val="Heading2"/>
        <w:keepNext/>
        <w:keepLines/>
        <w:widowControl/>
      </w:pPr>
      <w:r>
        <w:rPr>
          <w:color w:val="000000"/>
        </w:rPr>
        <w:t>7.5 补充边界分析</w:t>
      </w:r>
    </w:p>
    <w:p>
      <w:pPr>
        <w:keepNext w:val="0"/>
        <w:keepLines w:val="0"/>
        <w:widowControl/>
        <w:jc w:val="both"/>
      </w:pPr>
      <w:r>
        <w:t>时间外预测按报告年度建立扩展训练窗口，并以t−3及更早报告的标签预测2020—2023年结果。加入商业模式导向披露后，RMSE从0.286925降至0.286734，相对变化约0.07%；企业聚类bootstrap的均方误差差值95%区间为[-0.000220, -0.000010]。该区间没有在每次抽样中重新估计模型，且改善不足0.1%，因此只能作为极弱的补充信息，不能支持实用预测用途。完整结果见附录C。</w:t>
      </w:r>
    </w:p>
    <w:p>
      <w:pPr>
        <w:keepNext w:val="0"/>
        <w:keepLines w:val="0"/>
        <w:widowControl/>
        <w:jc w:val="both"/>
      </w:pPr>
      <w:r>
        <w:t>资本市场补充分析使用实质性数字披露总量（即前文的TotalDigital），考察首次年报提交日附近的平均市场反应。价格、成交量、绝对收益、流动性以及中短期持有收益六项估计均无法与零精确区分。这一结果只限定论文的适用范围，不是H1或H2的延伸；完整结果见附录D。</w:t>
      </w:r>
    </w:p>
    <w:p>
      <w:pPr>
        <w:pStyle w:val="Heading1"/>
        <w:keepNext/>
        <w:keepLines/>
        <w:pageBreakBefore w:val="0"/>
        <w:widowControl/>
      </w:pPr>
      <w:r>
        <w:rPr>
          <w:color w:val="000000"/>
        </w:rPr>
        <w:t>8 研究局限与结论</w:t>
      </w:r>
    </w:p>
    <w:p>
      <w:pPr>
        <w:pStyle w:val="Heading2"/>
        <w:keepNext/>
        <w:keepLines/>
        <w:widowControl/>
      </w:pPr>
      <w:r>
        <w:rPr>
          <w:color w:val="000000"/>
        </w:rPr>
        <w:t>8.1 核心发现的含义</w:t>
      </w:r>
    </w:p>
    <w:p>
      <w:pPr>
        <w:keepNext w:val="0"/>
        <w:keepLines w:val="0"/>
        <w:widowControl/>
        <w:jc w:val="both"/>
      </w:pPr>
      <w:r>
        <w:t>两类披露的系数在标准化尺度和共同每千句尺度上均有差异，这与数字化转型和一般IT支持活动的理论区分一致。把平台、渠道、数字服务和收入安排与后台系统建设分开，能够揭示总词频可能掩盖的条件关联。该结果支持继续检验这种分类的分析价值，但不能证明分类优于既有指标，也不能证明某类项目已经成功。</w:t>
      </w:r>
    </w:p>
    <w:p>
      <w:pPr>
        <w:keepNext w:val="0"/>
        <w:keepLines w:val="0"/>
        <w:widowControl/>
        <w:jc w:val="both"/>
      </w:pPr>
      <w:r>
        <w:t>实质性数字披露总量呈正向关系，而控制总量后的BMI内容占比估计不精确。两项结果并不矛盾：类型联合模型比较两类披露各自变化的系数，构成模型考察给定总量后的比例差异。前者支持披露类型的直接比较，后者没有提供“提高BMI占比”与更高资产周转率相联系的证据。</w:t>
      </w:r>
    </w:p>
    <w:p>
      <w:pPr>
        <w:keepNext w:val="0"/>
        <w:keepLines w:val="0"/>
        <w:widowControl/>
        <w:jc w:val="both"/>
      </w:pPr>
      <w:r>
        <w:t>资产周转率的正向估计与未来销售结果方向一致，而总资产、ROA和营业利润率的估计不精确。由于各模型样本略有差异，这组结果只说明销售端出现了较一致的伴随关系，不能建立销售增长导致资产周转率变化的机制，也不能概括为整体企业绩效改善。</w:t>
      </w:r>
    </w:p>
    <w:p>
      <w:pPr>
        <w:keepNext w:val="0"/>
        <w:keepLines w:val="0"/>
        <w:widowControl/>
        <w:jc w:val="both"/>
      </w:pPr>
      <w:r>
        <w:t>固定效应回归利用企业内部变化估计平均条件关联，但管理层可能根据尚未反映在财务数据中的需求或销售预期调整披露。预期随后实现时，披露与未来销售会共同上升。公司和年份固定效应、基期控制以及时点检验都不能排除这种前瞻性披露。</w:t>
      </w:r>
    </w:p>
    <w:p>
      <w:pPr>
        <w:keepNext w:val="0"/>
        <w:keepLines w:val="0"/>
        <w:widowControl/>
        <w:jc w:val="both"/>
      </w:pPr>
      <w:r>
        <w:t>主样本从第25百分位到第75百分位的变化对应约为资产周转率均值1.44%的条件差异。时间外预测的RMSE变化约为0.07%，bootstrap又没有在每次抽样中重新估计模型。统计上的可区分性、经济量级和预测用途是三个不同问题；当前结果不足以支持企业评分、投资筛选或短期交易用途。</w:t>
      </w:r>
    </w:p>
    <w:p>
      <w:pPr>
        <w:keepNext w:val="0"/>
        <w:keepLines w:val="0"/>
        <w:widowControl/>
        <w:jc w:val="both"/>
      </w:pPr>
      <w:r>
        <w:t>对披露解释而言，结果提示读者应区分具体经营行动与一般数字化表述，并把文字与可核查的实施进度和财务结果对照。本文没有检验增加某类表述是否改善绩效，也没有验证该指标适合企业层面的投资判断。</w:t>
      </w:r>
    </w:p>
    <w:p>
      <w:pPr>
        <w:pStyle w:val="Heading1"/>
        <w:keepNext/>
        <w:keepLines/>
        <w:pageBreakBefore w:val="0"/>
        <w:widowControl/>
      </w:pPr>
      <w:r>
        <w:rPr>
          <w:color w:val="000000"/>
        </w:rPr>
        <w:t>8.2 研究局限</w:t>
      </w:r>
    </w:p>
    <w:p>
      <w:pPr>
        <w:keepNext w:val="0"/>
        <w:keepLines w:val="0"/>
        <w:widowControl/>
        <w:jc w:val="both"/>
      </w:pPr>
      <w:r>
        <w:t>测量方面，年报披露不等于实际实施，明确计划也可能没有按期完成。句子分类由同一研究者按确定性规则反复复核，没有第二名独立编码者，也没有完整版本日志。现行重建流程与历史锁定面板之间还有2,822个公司年度的句子计数差异；当前回归继续使用历史锁定面板，差异对估计的影响尚不清楚。此外，以整份年报有效句子为分母仍可能受到财务附注和法定模板篇幅影响。</w:t>
      </w:r>
    </w:p>
    <w:p>
      <w:pPr>
        <w:keepNext w:val="0"/>
        <w:keepLines w:val="0"/>
        <w:widowControl/>
        <w:jc w:val="both"/>
      </w:pPr>
      <w:r>
        <w:t>识别方面，公司固定效应不能消除随时间变化的遗漏因素，前后时点和逆概率权重也不能排除前瞻性披露。主模型同时包含滞后结果与公司固定效应，而时间维度较短，动态固定效应偏误的方向和大小无法由现有结果确定。资产周转率还会受到数字无形投入会计确认方式影响，资本市场补充分析则可能错过数字战略首次公开的时间。</w:t>
      </w:r>
    </w:p>
    <w:p>
      <w:pPr>
        <w:keepNext w:val="0"/>
        <w:keepLines w:val="0"/>
        <w:widowControl/>
        <w:jc w:val="both"/>
      </w:pPr>
      <w:r>
        <w:t>外推方面，结论只适用于所定义的韩国KOSPI和KOSDAQ非金融上市公司及其文本口径。集团内部交易、共同控制、共享数字基础设施和集团战略可能同时影响成员公司的披露与资产周转，但现有底表没有经过完整核验的集团年度变量。可观察与缺失样本在部分经营特征上也存在差异，因而结果不能无条件推广到其他公司、市场或制度环境。</w:t>
      </w:r>
    </w:p>
    <w:p>
      <w:pPr>
        <w:keepNext w:val="0"/>
        <w:keepLines w:val="0"/>
        <w:widowControl/>
        <w:jc w:val="both"/>
      </w:pPr>
      <w:r>
        <w:t>统计解释方面，t+2是探索后保留的焦点时点，前期还比较过5,304个候选模型。历史记录中的全搜索BH和BY数值缺少可供再次计算的完整底表，最终核心检验族也不是事前注册。本文因此把结果解释为选择后的条件关联，而不是确认性或因果证据。</w:t>
      </w:r>
    </w:p>
    <w:p>
      <w:pPr>
        <w:pStyle w:val="Heading1"/>
        <w:keepNext/>
        <w:keepLines/>
        <w:pageBreakBefore w:val="0"/>
        <w:widowControl/>
      </w:pPr>
      <w:r>
        <w:rPr>
          <w:color w:val="000000"/>
        </w:rPr>
        <w:t>8.3 结论</w:t>
      </w:r>
    </w:p>
    <w:p>
      <w:pPr>
        <w:keepNext w:val="0"/>
        <w:keepLines w:val="0"/>
        <w:widowControl/>
        <w:jc w:val="both"/>
      </w:pPr>
      <w:r>
        <w:t>本文以DART/OpenDART韩文年报构造句子级数字披露指标，并区分商业模式导向披露与一般技术导向披露。在2016—2023年13,980个公司年度的固定效应模型中，商业模式导向披露与两年后资产周转率呈正向条件关联；两类披露的系数在标准化尺度和共同每千句尺度上均有统计差异。一般技术导向披露的平均估计不精确，这不表示相关技术投资没有经营价值。</w:t>
      </w:r>
    </w:p>
    <w:p>
      <w:pPr>
        <w:keepNext w:val="0"/>
        <w:keepLines w:val="0"/>
        <w:widowControl/>
        <w:jc w:val="both"/>
      </w:pPr>
      <w:r>
        <w:t>这一关系的经济量级较小，主样本四分位距变化对应的条件差异约为资产周转率均值的1.44%。总量与构成、销售与盈利、时间外预测以及资本市场结果共同限制了其含义。前瞻性披露、时变遗漏因素、动态固定效应偏误和文本重建差异仍未消除。本文的贡献因此限于提出一种较窄的文本操作化，并显示不同披露类型与后续资产使用效率之间存在幅度较小、选择后的平均条件关联差异。</w:t>
      </w:r>
    </w:p>
    <w:p>
      <w:pPr>
        <w:pStyle w:val="Heading1"/>
        <w:keepNext/>
        <w:keepLines/>
        <w:pageBreakBefore/>
        <w:widowControl/>
      </w:pPr>
      <w:r>
        <w:rPr>
          <w:color w:val="000000"/>
        </w:rPr>
        <w:t>参考文献</w:t>
      </w:r>
    </w:p>
    <w:p>
      <w:pPr>
        <w:keepNext w:val="0"/>
        <w:keepLines w:val="0"/>
        <w:widowControl/>
        <w:spacing w:after="60"/>
        <w:ind w:left="720" w:hanging="720"/>
        <w:jc w:val="left"/>
      </w:pPr>
      <w:r>
        <w:t xml:space="preserve">Benjamini, Y., &amp; Hochberg, Y. (1995). Controlling the false discovery rate: A practical and powerful approach to multiple testing. </w:t>
      </w:r>
      <w:r>
        <w:rPr>
          <w:i/>
        </w:rPr>
        <w:t>Journal of the Royal Statistical Society: Series B, 57</w:t>
      </w:r>
      <w:r>
        <w:t>(1), 289–300.</w:t>
      </w:r>
      <w:r>
        <w:t xml:space="preserve"> https://doi.org/10.1111/j.2517-6161.1995.tb02031.x</w:t>
      </w:r>
    </w:p>
    <w:p>
      <w:pPr>
        <w:keepNext w:val="0"/>
        <w:keepLines w:val="0"/>
        <w:widowControl/>
        <w:spacing w:after="60"/>
        <w:ind w:left="720" w:hanging="720"/>
        <w:jc w:val="left"/>
      </w:pPr>
      <w:r>
        <w:t xml:space="preserve">Benjamini, Y., &amp; Yekutieli, D. (2001). The control of the false discovery rate in multiple testing under dependency. </w:t>
      </w:r>
      <w:r>
        <w:rPr>
          <w:i/>
        </w:rPr>
        <w:t>Annals of Statistics, 29</w:t>
      </w:r>
      <w:r>
        <w:t>(4), 1165–1188.</w:t>
      </w:r>
      <w:r>
        <w:t xml:space="preserve"> https://doi.org/10.1214/aos/1013699998</w:t>
      </w:r>
    </w:p>
    <w:p>
      <w:pPr>
        <w:keepNext w:val="0"/>
        <w:keepLines w:val="0"/>
        <w:widowControl/>
        <w:spacing w:after="60"/>
        <w:ind w:left="720" w:hanging="720"/>
        <w:jc w:val="left"/>
      </w:pPr>
      <w:r>
        <w:t xml:space="preserve">Bharadwaj, A., El Sawy, O. A., Pavlou, P. A., &amp; Venkatraman, N. (2013). Digital business strategy: Toward a next generation of insights. </w:t>
      </w:r>
      <w:r>
        <w:rPr>
          <w:i/>
        </w:rPr>
        <w:t>MIS Quarterly, 37</w:t>
      </w:r>
      <w:r>
        <w:t>(2), 471–482.</w:t>
      </w:r>
      <w:r>
        <w:t xml:space="preserve"> https://doi.org/10.25300/MISQ/2013/37:2.3</w:t>
      </w:r>
    </w:p>
    <w:p>
      <w:pPr>
        <w:keepNext w:val="0"/>
        <w:keepLines w:val="0"/>
        <w:widowControl/>
        <w:spacing w:after="60"/>
        <w:ind w:left="720" w:hanging="720"/>
        <w:jc w:val="left"/>
      </w:pPr>
      <w:r>
        <w:t xml:space="preserve">Brynjolfsson, E., &amp; Hitt, L. M. (2000). Beyond computation: Information technology, organizational transformation and business performance. </w:t>
      </w:r>
      <w:r>
        <w:rPr>
          <w:i/>
        </w:rPr>
        <w:t>Journal of Economic Perspectives, 14</w:t>
      </w:r>
      <w:r>
        <w:t>(4), 23–48.</w:t>
      </w:r>
      <w:r>
        <w:t xml:space="preserve"> https://doi.org/10.1257/jep.14.4.23</w:t>
      </w:r>
    </w:p>
    <w:p>
      <w:pPr>
        <w:keepNext w:val="0"/>
        <w:keepLines w:val="0"/>
        <w:widowControl/>
        <w:spacing w:after="60"/>
        <w:ind w:left="720" w:hanging="720"/>
        <w:jc w:val="left"/>
      </w:pPr>
      <w:r>
        <w:t xml:space="preserve">Chen, W., &amp; Srinivasan, S. (2024). Going digital: Implications for firm value and performance. </w:t>
      </w:r>
      <w:r>
        <w:rPr>
          <w:i/>
        </w:rPr>
        <w:t>Review of Accounting Studies, 29</w:t>
      </w:r>
      <w:r>
        <w:t>(2), 1619–1665.</w:t>
      </w:r>
      <w:r>
        <w:t xml:space="preserve"> https://doi.org/10.1007/s11142-023-09753-0</w:t>
      </w:r>
    </w:p>
    <w:p>
      <w:pPr>
        <w:keepNext w:val="0"/>
        <w:keepLines w:val="0"/>
        <w:widowControl/>
        <w:spacing w:after="60"/>
        <w:ind w:left="720" w:hanging="720"/>
        <w:jc w:val="left"/>
      </w:pPr>
      <w:r>
        <w:t xml:space="preserve">Financial Supervisory Service. (n.d.). </w:t>
      </w:r>
      <w:r>
        <w:rPr>
          <w:i/>
        </w:rPr>
        <w:t>DART electronic disclosure system and OpenDART API.</w:t>
      </w:r>
      <w:r>
        <w:t xml:space="preserve"> https://opendart.fss.or.kr/intro/main.do</w:t>
      </w:r>
    </w:p>
    <w:p>
      <w:pPr>
        <w:keepNext w:val="0"/>
        <w:keepLines w:val="0"/>
        <w:widowControl/>
        <w:spacing w:after="60"/>
        <w:ind w:left="720" w:hanging="720"/>
        <w:jc w:val="left"/>
      </w:pPr>
      <w:r>
        <w:t>Foss, N. J., &amp; Saebi, T. (2017). Fifteen years of research on business model innovation: How far have we come, and where should we go? Journal of Management, 43(1), 200–227.</w:t>
      </w:r>
      <w:r>
        <w:t xml:space="preserve"> https://doi.org/10.1177/0149206316675927</w:t>
      </w:r>
    </w:p>
    <w:p>
      <w:pPr>
        <w:keepNext w:val="0"/>
        <w:keepLines w:val="0"/>
        <w:widowControl/>
        <w:spacing w:after="60"/>
        <w:ind w:left="720" w:hanging="720"/>
        <w:jc w:val="left"/>
      </w:pPr>
      <w:r>
        <w:t xml:space="preserve">Healy, P. M., &amp; Palepu, K. G. (2001). Information asymmetry, corporate disclosure, and the capital markets: A review of the empirical disclosure literature. </w:t>
      </w:r>
      <w:r>
        <w:rPr>
          <w:i/>
        </w:rPr>
        <w:t>Journal of Accounting and Economics, 31</w:t>
      </w:r>
      <w:r>
        <w:t>(1–3), 405–440.</w:t>
      </w:r>
      <w:r>
        <w:t xml:space="preserve"> https://doi.org/10.1016/S0165-4101(01)00018-0</w:t>
      </w:r>
    </w:p>
    <w:p>
      <w:pPr>
        <w:keepNext w:val="0"/>
        <w:keepLines w:val="0"/>
        <w:widowControl/>
        <w:spacing w:after="60"/>
        <w:ind w:left="720" w:hanging="720"/>
        <w:jc w:val="left"/>
      </w:pPr>
      <w:r>
        <w:t xml:space="preserve">International Accounting Standards Board. (n.d.). </w:t>
      </w:r>
      <w:r>
        <w:rPr>
          <w:i/>
        </w:rPr>
        <w:t>IAS 38 intangible assets.</w:t>
      </w:r>
      <w:r>
        <w:t xml:space="preserve"> https://www.ifrs.org/issued-standards/list-of-standards/ias-38-intangible-assets/</w:t>
      </w:r>
    </w:p>
    <w:p>
      <w:pPr>
        <w:keepNext w:val="0"/>
        <w:keepLines w:val="0"/>
        <w:widowControl/>
        <w:spacing w:after="60"/>
        <w:ind w:left="720" w:hanging="720"/>
        <w:jc w:val="left"/>
      </w:pPr>
      <w:r>
        <w:t xml:space="preserve">Lang, M., &amp; Stice-Lawrence, L. (2015). Textual analysis and international financial reporting: Large sample evidence. </w:t>
      </w:r>
      <w:r>
        <w:rPr>
          <w:i/>
        </w:rPr>
        <w:t>Journal of Accounting and Economics, 60</w:t>
      </w:r>
      <w:r>
        <w:t>(2–3), 110–135.</w:t>
      </w:r>
      <w:r>
        <w:t xml:space="preserve"> https://doi.org/10.1016/j.jacceco.2015.09.002</w:t>
      </w:r>
    </w:p>
    <w:p>
      <w:pPr>
        <w:keepNext w:val="0"/>
        <w:keepLines w:val="0"/>
        <w:widowControl/>
        <w:spacing w:after="60"/>
        <w:ind w:left="720" w:hanging="720"/>
        <w:jc w:val="left"/>
      </w:pPr>
      <w:r>
        <w:t xml:space="preserve">Li, F. (2008). Annual report readability, current earnings, and earnings persistence. </w:t>
      </w:r>
      <w:r>
        <w:rPr>
          <w:i/>
        </w:rPr>
        <w:t>Journal of Accounting and Economics, 45</w:t>
      </w:r>
      <w:r>
        <w:t>(2–3), 221–247.</w:t>
      </w:r>
      <w:r>
        <w:t xml:space="preserve"> https://doi.org/10.1016/j.jacceco.2008.02.003</w:t>
      </w:r>
    </w:p>
    <w:p>
      <w:pPr>
        <w:keepNext w:val="0"/>
        <w:keepLines w:val="0"/>
        <w:widowControl/>
        <w:spacing w:after="60"/>
        <w:ind w:left="720" w:hanging="720"/>
        <w:jc w:val="left"/>
      </w:pPr>
      <w:r>
        <w:t xml:space="preserve">Loughran, T., &amp; McDonald, B. (2011). When is a liability not a liability? Textual analysis, dictionaries, and 10-Ks. </w:t>
      </w:r>
      <w:r>
        <w:rPr>
          <w:i/>
        </w:rPr>
        <w:t>Journal of Finance, 66</w:t>
      </w:r>
      <w:r>
        <w:t>(1), 35–65.</w:t>
      </w:r>
      <w:r>
        <w:t xml:space="preserve"> https://doi.org/10.1111/j.1540-6261.2010.01625.x</w:t>
      </w:r>
    </w:p>
    <w:p>
      <w:pPr>
        <w:keepNext w:val="0"/>
        <w:keepLines w:val="0"/>
        <w:widowControl/>
        <w:spacing w:after="60"/>
        <w:ind w:left="720" w:hanging="720"/>
        <w:jc w:val="left"/>
      </w:pPr>
      <w:r>
        <w:t xml:space="preserve">Massa, L., Tucci, C. L., &amp; Afuah, A. (2017). A critical assessment of business model research. </w:t>
      </w:r>
      <w:r>
        <w:rPr>
          <w:i/>
        </w:rPr>
        <w:t>Academy of Management Annals, 11</w:t>
      </w:r>
      <w:r>
        <w:t>(1), 73–104.</w:t>
      </w:r>
      <w:r>
        <w:t xml:space="preserve"> https://doi.org/10.5465/annals.2014.0072</w:t>
      </w:r>
    </w:p>
    <w:p>
      <w:pPr>
        <w:keepNext w:val="0"/>
        <w:keepLines w:val="0"/>
        <w:widowControl/>
        <w:spacing w:after="60"/>
        <w:ind w:left="720" w:hanging="720"/>
        <w:jc w:val="left"/>
      </w:pPr>
      <w:r>
        <w:t xml:space="preserve">Nasiri, M., Saunila, M., &amp; Ukko, J. (2022). Digital orientation, digital maturity, and digital intensity: Determinants of financial success in digital transformation settings. </w:t>
      </w:r>
      <w:r>
        <w:rPr>
          <w:i/>
        </w:rPr>
        <w:t>International Journal of Operations &amp; Production Management, 42</w:t>
      </w:r>
      <w:r>
        <w:t>(13), 274–298.</w:t>
      </w:r>
      <w:r>
        <w:t xml:space="preserve"> https://doi.org/10.1108/IJOPM-09-2021-0616</w:t>
      </w:r>
    </w:p>
    <w:p>
      <w:pPr>
        <w:keepNext w:val="0"/>
        <w:keepLines w:val="0"/>
        <w:widowControl/>
        <w:spacing w:after="60"/>
        <w:ind w:left="720" w:hanging="720"/>
        <w:jc w:val="left"/>
      </w:pPr>
      <w:r>
        <w:t xml:space="preserve">Nickell, S. (1981). Biases in dynamic models with fixed effects. </w:t>
      </w:r>
      <w:r>
        <w:rPr>
          <w:i/>
        </w:rPr>
        <w:t>Econometrica, 49</w:t>
      </w:r>
      <w:r>
        <w:t>(6), 1417–1426.</w:t>
      </w:r>
      <w:r>
        <w:t xml:space="preserve"> https://doi.org/10.2307/1911408</w:t>
      </w:r>
    </w:p>
    <w:p>
      <w:pPr>
        <w:keepNext w:val="0"/>
        <w:keepLines w:val="0"/>
        <w:widowControl/>
        <w:spacing w:after="60"/>
        <w:ind w:left="720" w:hanging="720"/>
        <w:jc w:val="left"/>
      </w:pPr>
      <w:r>
        <w:t xml:space="preserve">Petersen, M. A. (2009). Estimating standard errors in finance panel data sets: Comparing approaches. </w:t>
      </w:r>
      <w:r>
        <w:rPr>
          <w:i/>
        </w:rPr>
        <w:t>Review of Financial Studies, 22</w:t>
      </w:r>
      <w:r>
        <w:t>(1), 435–480.</w:t>
      </w:r>
      <w:r>
        <w:t xml:space="preserve"> https://doi.org/10.1093/rfs/hhn053</w:t>
      </w:r>
    </w:p>
    <w:p>
      <w:pPr>
        <w:keepNext w:val="0"/>
        <w:keepLines w:val="0"/>
        <w:widowControl/>
        <w:spacing w:after="60"/>
        <w:ind w:left="720" w:hanging="720"/>
        <w:jc w:val="left"/>
      </w:pPr>
      <w:r>
        <w:t xml:space="preserve">Sebastian, I. M., Ross, J. W., Beath, C., Mocker, M., Moloney, K. G., &amp; Fonstad, N. O. (2017). How big old companies navigate digital transformation. </w:t>
      </w:r>
      <w:r>
        <w:rPr>
          <w:i/>
        </w:rPr>
        <w:t>MIS Quarterly Executive, 16</w:t>
      </w:r>
      <w:r>
        <w:t>(3), 197–213.</w:t>
      </w:r>
    </w:p>
    <w:p>
      <w:pPr>
        <w:keepNext w:val="0"/>
        <w:keepLines w:val="0"/>
        <w:widowControl/>
        <w:spacing w:after="60"/>
        <w:ind w:left="720" w:hanging="720"/>
        <w:jc w:val="left"/>
      </w:pPr>
      <w:r>
        <w:t xml:space="preserve">Sklenarz, F. A., Edeling, A., Himme, A., &amp; Wichmann, J. R. K. (2024). Does bigger still mean better? How digital transformation affects the market share–profitability relationship. </w:t>
      </w:r>
      <w:r>
        <w:rPr>
          <w:i/>
        </w:rPr>
        <w:t>International Journal of Research in Marketing, 41</w:t>
      </w:r>
      <w:r>
        <w:t>(4), 648–670.</w:t>
      </w:r>
      <w:r>
        <w:t xml:space="preserve"> https://doi.org/10.1016/j.ijresmar.2024.01.004</w:t>
      </w:r>
    </w:p>
    <w:p>
      <w:pPr>
        <w:keepNext w:val="0"/>
        <w:keepLines w:val="0"/>
        <w:widowControl/>
        <w:spacing w:after="60"/>
        <w:ind w:left="720" w:hanging="720"/>
        <w:jc w:val="left"/>
      </w:pPr>
      <w:r>
        <w:t xml:space="preserve">Teece, D. J. (2010). Business models, business strategy and innovation. </w:t>
      </w:r>
      <w:r>
        <w:rPr>
          <w:i/>
        </w:rPr>
        <w:t>Long Range Planning, 43</w:t>
      </w:r>
      <w:r>
        <w:t>(2–3), 172–194.</w:t>
      </w:r>
      <w:r>
        <w:t xml:space="preserve"> https://doi.org/10.1016/j.lrp.2009.07.003</w:t>
      </w:r>
    </w:p>
    <w:p>
      <w:pPr>
        <w:keepNext w:val="0"/>
        <w:keepLines w:val="0"/>
        <w:widowControl/>
        <w:spacing w:after="60"/>
        <w:ind w:left="720" w:hanging="720"/>
        <w:jc w:val="left"/>
      </w:pPr>
      <w:r>
        <w:t xml:space="preserve">Verhoef, P. C., Broekhuizen, T., Bart, Y., Bhattacharya, A., Dong, J. Q., Fabian, N., &amp; Haenlein, M. (2021). Digital transformation: A multidisciplinary reflection and research agenda. </w:t>
      </w:r>
      <w:r>
        <w:rPr>
          <w:i/>
        </w:rPr>
        <w:t>Journal of Business Research, 122</w:t>
      </w:r>
      <w:r>
        <w:t>, 889–901.</w:t>
      </w:r>
      <w:r>
        <w:t xml:space="preserve"> https://doi.org/10.1016/j.jbusres.2019.09.022</w:t>
      </w:r>
    </w:p>
    <w:p>
      <w:pPr>
        <w:keepNext w:val="0"/>
        <w:keepLines w:val="0"/>
        <w:widowControl/>
        <w:spacing w:after="60"/>
        <w:ind w:left="720" w:hanging="720"/>
        <w:jc w:val="left"/>
      </w:pPr>
      <w:r>
        <w:t xml:space="preserve">Vial, G. (2019). Understanding digital transformation: A review and a research agenda. </w:t>
      </w:r>
      <w:r>
        <w:rPr>
          <w:i/>
        </w:rPr>
        <w:t>Journal of Strategic Information Systems, 28</w:t>
      </w:r>
      <w:r>
        <w:t>(2), 118–144.</w:t>
      </w:r>
      <w:r>
        <w:t xml:space="preserve"> https://doi.org/10.1016/j.jsis.2019.01.003</w:t>
      </w:r>
    </w:p>
    <w:p>
      <w:pPr>
        <w:keepNext w:val="0"/>
        <w:keepLines w:val="0"/>
        <w:widowControl/>
        <w:spacing w:after="60"/>
        <w:ind w:left="720" w:hanging="720"/>
        <w:jc w:val="left"/>
      </w:pPr>
      <w:r>
        <w:t xml:space="preserve">Wessel, L., Baiyere, A., Ologeanu-Taddei, R., Cha, J., &amp; Jensen, T. B. (2021). Unpacking the difference between digital transformation and IT-enabled organizational transformation. </w:t>
      </w:r>
      <w:r>
        <w:rPr>
          <w:i/>
        </w:rPr>
        <w:t>Journal of the Association for Information Systems, 22</w:t>
      </w:r>
      <w:r>
        <w:t>(1), 102–129.</w:t>
      </w:r>
      <w:r>
        <w:t xml:space="preserve"> https://doi.org/10.17705/1jais.00655</w:t>
      </w:r>
    </w:p>
    <w:p>
      <w:pPr>
        <w:keepNext w:val="0"/>
        <w:keepLines w:val="0"/>
        <w:widowControl/>
        <w:spacing w:after="60"/>
        <w:ind w:left="720" w:hanging="720"/>
        <w:jc w:val="left"/>
      </w:pPr>
      <w:r>
        <w:t xml:space="preserve">Zott, C., Amit, R., &amp; Massa, L. (2011). The business model: Recent developments and future research. </w:t>
      </w:r>
      <w:r>
        <w:rPr>
          <w:i/>
        </w:rPr>
        <w:t>Journal of Management, 37</w:t>
      </w:r>
      <w:r>
        <w:t>(4), 1019–1042.</w:t>
      </w:r>
      <w:r>
        <w:t xml:space="preserve"> https://doi.org/10.1177/0149206311406265</w:t>
      </w:r>
    </w:p>
    <w:p>
      <w:pPr>
        <w:pStyle w:val="Heading1"/>
        <w:keepNext/>
        <w:keepLines/>
        <w:pageBreakBefore/>
        <w:widowControl/>
      </w:pPr>
      <w:r>
        <w:rPr>
          <w:color w:val="000000"/>
        </w:rPr>
        <w:t>附录A 文本分类实例与分布补充</w:t>
      </w:r>
    </w:p>
    <w:p>
      <w:pPr>
        <w:keepNext w:val="0"/>
        <w:keepLines w:val="0"/>
        <w:widowControl/>
        <w:jc w:val="both"/>
      </w:pPr>
      <w:r>
        <w:t>附录表A1选自冻结句子样本，企业名称已隐去，报告年度和DART申报编号予以保留。判定以句子在原始规则中的最终标签为准。实例展示分类边界，不代表总体准确率，也不替代独立编码一致性检验。</w:t>
      </w:r>
    </w:p>
    <w:p>
      <w:pPr>
        <w:keepNext/>
        <w:keepLines w:val="0"/>
        <w:widowControl/>
        <w:spacing w:before="140" w:after="60"/>
        <w:ind w:firstLine="0"/>
        <w:jc w:val="center"/>
      </w:pPr>
      <w:r>
        <w:rPr>
          <w:rFonts w:ascii="黑体" w:hAnsi="黑体" w:eastAsia="黑体"/>
          <w:b/>
          <w:sz w:val="20"/>
        </w:rPr>
        <w:t>表A1 真实年报句子的分类实例</w:t>
      </w:r>
    </w:p>
    <w:tbl>
      <w:tblPr>
        <w:tblW w:type="pct" w:w="5000"/>
        <w:jc w:val="center"/>
        <w:tblLayout w:type="autofit"/>
        <w:tblLook w:firstColumn="1" w:firstRow="1" w:lastColumn="0" w:lastRow="0" w:noHBand="0" w:noVBand="1" w:val="04A0"/>
      </w:tblPr>
      <w:tblGrid>
        <w:gridCol w:w="2268"/>
        <w:gridCol w:w="2268"/>
        <w:gridCol w:w="2268"/>
        <w:gridCol w:w="2268"/>
      </w:tblGrid>
      <w:tr>
        <w:trPr>
          <w:tblHeader w:val="true"/>
          <w:cantSplit/>
          <w:tblHeader w:val="true"/>
          <w:cantSplit/>
        </w:trPr>
        <w:tc>
          <w:tcPr>
            <w:tcW w:type="dxa" w:w="4706"/>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隐去公司名称的示例句</w:t>
            </w:r>
          </w:p>
        </w:tc>
        <w:tc>
          <w:tcPr>
            <w:tcW w:type="dxa" w:w="124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类别</w:t>
            </w:r>
          </w:p>
        </w:tc>
        <w:tc>
          <w:tcPr>
            <w:tcW w:type="dxa" w:w="2948"/>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判定理由</w:t>
            </w:r>
          </w:p>
        </w:tc>
        <w:tc>
          <w:tcPr>
            <w:tcW w:type="dxa" w:w="198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报告年度；申报编号</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펫 통합 솔루션 제공 온라인 유통 채널 ‘옵티펫몰’ 오픈</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BMI</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线上渠道已经开设，直接涉及价值交付</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2020；20210323000449</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블록체인 기술 기반의 마케팅 플랫폼을 2022년 8월에 출시하였습니다.</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BMI</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平台已经上线，并直接服务营销活动</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2022；20230317001012</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연결회사는 고객에게 모바일 게임에서 사용할 수 있는 아이템을 판매하는 게임서비스를 제공하고 있습니다.</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BMI</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数字服务与收入获取方式直接相关</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2020；20210322000745</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당사는 SCM, MES, QMS, PLM 등 시스템을 구축하여 사용중에 있습니다.</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NonBMI</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内部生产与管理系统支持既有业务</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2018；20190401002041</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연질생산라인의 반자동화 시스템을 구축하였습니다.</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NonBMI</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生产流程自动化，不直接改变渠道或收入模式</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2023；20240321001130</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콘크리트 프리팹 생산공정 자동화 시스템 구축</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NonBMI</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面向内部制造流程的技术应用</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2021；20220321000645</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인터넷, 모바일네트워크 등을 통한 전자상거래가 경제 전분야에 걸쳐 급속히 확산되고 있는 추세</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排除</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行业趋势，没有企业自身行动</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2015；20160330002653</w:t>
            </w:r>
          </w:p>
        </w:tc>
      </w:tr>
      <w:tr>
        <w:trPr>
          <w:cantSplit/>
        </w:trPr>
        <w:tc>
          <w:tcPr>
            <w:tcW w:type="dxa" w:w="4706"/>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사물인터넷(IoT)과 클라우드 컴퓨팅 시대가 도래하면서 반도체 시장의 흐름이 바뀌고 있습니다.</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排除</w:t>
            </w:r>
          </w:p>
        </w:tc>
        <w:tc>
          <w:tcPr>
            <w:tcW w:type="dxa" w:w="2948"/>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市场背景，没有具体实施行为</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2021；20220318000421</w:t>
            </w:r>
          </w:p>
        </w:tc>
      </w:tr>
      <w:tr>
        <w:trPr>
          <w:cantSplit/>
        </w:trPr>
        <w:tc>
          <w:tcPr>
            <w:tcW w:type="dxa" w:w="4706"/>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최신 기술은 새로운 약물 개발, 개인화된 의료, 데이터 분석 등에 중요한 역할을 하고 있습니다.</w:t>
            </w:r>
          </w:p>
        </w:tc>
        <w:tc>
          <w:tcPr>
            <w:tcW w:type="dxa" w:w="124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排除</w:t>
            </w:r>
          </w:p>
        </w:tc>
        <w:tc>
          <w:tcPr>
            <w:tcW w:type="dxa" w:w="2948"/>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一般重要性陈述，没有企业行动和项目边界</w:t>
            </w:r>
          </w:p>
        </w:tc>
        <w:tc>
          <w:tcPr>
            <w:tcW w:type="dxa" w:w="198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2025；20260319000689</w:t>
            </w:r>
          </w:p>
        </w:tc>
      </w:tr>
    </w:tbl>
    <w:p>
      <w:pPr>
        <w:keepNext/>
        <w:keepLines w:val="0"/>
        <w:widowControl/>
        <w:spacing w:before="140" w:after="60"/>
        <w:ind w:firstLine="0"/>
        <w:jc w:val="center"/>
      </w:pPr>
      <w:r>
        <w:rPr>
          <w:rFonts w:ascii="黑体" w:hAnsi="黑体" w:eastAsia="黑体"/>
          <w:b/>
          <w:sz w:val="20"/>
        </w:rPr>
        <w:t>表A2 核心文本变量在不同样本中的分布</w:t>
      </w:r>
    </w:p>
    <w:tbl>
      <w:tblPr>
        <w:tblW w:type="pct" w:w="5000"/>
        <w:jc w:val="center"/>
        <w:tblLayout w:type="autofit"/>
        <w:tblLook w:firstColumn="1" w:firstRow="1" w:lastColumn="0" w:lastRow="0" w:noHBand="0" w:noVBand="1" w:val="04A0"/>
      </w:tblPr>
      <w:tblGrid>
        <w:gridCol w:w="1512"/>
        <w:gridCol w:w="1512"/>
        <w:gridCol w:w="1512"/>
        <w:gridCol w:w="1512"/>
        <w:gridCol w:w="1512"/>
        <w:gridCol w:w="1512"/>
      </w:tblGrid>
      <w:tr>
        <w:trPr>
          <w:tblHeader w:val="true"/>
          <w:cantSplit/>
          <w:tblHeader w:val="true"/>
          <w:cantSplit/>
        </w:trPr>
        <w:tc>
          <w:tcPr>
            <w:tcW w:type="dxa" w:w="170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样本</w:t>
            </w:r>
          </w:p>
        </w:tc>
        <w:tc>
          <w:tcPr>
            <w:tcW w:type="dxa" w:w="124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统计量</w:t>
            </w:r>
          </w:p>
        </w:tc>
        <w:tc>
          <w:tcPr>
            <w:tcW w:type="dxa" w:w="187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BMIDisclosure</w:t>
            </w:r>
          </w:p>
        </w:tc>
        <w:tc>
          <w:tcPr>
            <w:tcW w:type="dxa" w:w="198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NonBMIDisclosure</w:t>
            </w:r>
          </w:p>
        </w:tc>
        <w:tc>
          <w:tcPr>
            <w:tcW w:type="dxa" w:w="175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TotalDigital</w:t>
            </w:r>
          </w:p>
        </w:tc>
        <w:tc>
          <w:tcPr>
            <w:tcW w:type="dxa" w:w="175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BMIShare</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均值</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0.000922</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0.000925</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0.001846</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0.221783</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标准差</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0.002111</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0.002054</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0.003605</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0.362074</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P10</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P25</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中位数</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P75</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0.000947</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0.001014</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0.002004</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0.437500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P90</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0.003018</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0.002863</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0.005652</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P95</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0.005226</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0.004656</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0.009131</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冻结基础面板</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零值比例</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68.2%</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63.6%</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51.6%</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68.2%</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均值</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0.000756</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0.000753</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0.001509</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0.207592</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标准差</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0.001816</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0.001756</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0.003065</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0.360690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P10</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P25</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中位数</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P75</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0.000803</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0.000904</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0.001630</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0.333333</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P90</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0.002460</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0.002302</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0.004535</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1.000000</w:t>
            </w:r>
          </w:p>
        </w:tc>
      </w:tr>
      <w:tr>
        <w:trPr>
          <w:cantSplit/>
        </w:trPr>
        <w:tc>
          <w:tcPr>
            <w:tcW w:type="dxa" w:w="1701"/>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P95</w:t>
            </w:r>
          </w:p>
        </w:tc>
        <w:tc>
          <w:tcPr>
            <w:tcW w:type="dxa" w:w="187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0.004334</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0.003851</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0.007344</w:t>
            </w:r>
          </w:p>
        </w:tc>
        <w:tc>
          <w:tcPr>
            <w:tcW w:type="dxa" w:w="175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1.000000</w:t>
            </w:r>
          </w:p>
        </w:tc>
      </w:tr>
      <w:tr>
        <w:trPr>
          <w:cantSplit/>
        </w:trPr>
        <w:tc>
          <w:tcPr>
            <w:tcW w:type="dxa" w:w="1701"/>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6"/>
              </w:rPr>
              <w:t>主回归样本</w:t>
            </w:r>
          </w:p>
        </w:tc>
        <w:tc>
          <w:tcPr>
            <w:tcW w:type="dxa" w:w="124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零值比例</w:t>
            </w:r>
          </w:p>
        </w:tc>
        <w:tc>
          <w:tcPr>
            <w:tcW w:type="dxa" w:w="187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71.4%</w:t>
            </w:r>
          </w:p>
        </w:tc>
        <w:tc>
          <w:tcPr>
            <w:tcW w:type="dxa" w:w="198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67.1%</w:t>
            </w:r>
          </w:p>
        </w:tc>
        <w:tc>
          <w:tcPr>
            <w:tcW w:type="dxa" w:w="175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54.7%</w:t>
            </w:r>
          </w:p>
        </w:tc>
        <w:tc>
          <w:tcPr>
            <w:tcW w:type="dxa" w:w="175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71.4%</w:t>
            </w:r>
          </w:p>
        </w:tc>
      </w:tr>
    </w:tbl>
    <w:p>
      <w:pPr>
        <w:pStyle w:val="TableNote"/>
        <w:widowControl/>
      </w:pPr>
      <w:r>
        <w:rPr>
          <w:b/>
        </w:rPr>
        <w:t>注：</w:t>
      </w:r>
      <w:r>
        <w:t>冻结基础面板与主回归样本的统计量分开计算。BMIShare在无实质性数字披露时按0记录，并另以正披露样本进行稳健性检验。</w:t>
      </w:r>
    </w:p>
    <w:p>
      <w:pPr>
        <w:pStyle w:val="Heading1"/>
        <w:keepNext/>
        <w:keepLines/>
        <w:pageBreakBefore/>
        <w:widowControl/>
      </w:pPr>
      <w:r>
        <w:rPr>
          <w:color w:val="000000"/>
        </w:rPr>
        <w:t>附录B 补充稳健性与诊断</w:t>
      </w:r>
    </w:p>
    <w:p>
      <w:pPr>
        <w:keepNext/>
        <w:keepLines w:val="0"/>
        <w:widowControl/>
        <w:spacing w:before="140" w:after="60"/>
        <w:ind w:firstLine="0"/>
        <w:jc w:val="center"/>
      </w:pPr>
      <w:r>
        <w:rPr>
          <w:rFonts w:ascii="黑体" w:hAnsi="黑体" w:eastAsia="黑体"/>
          <w:b/>
          <w:sz w:val="20"/>
        </w:rPr>
        <w:t>表B1 SalesGrowth滞后稳健性与BMI/NonBMI共线性诊断</w:t>
      </w:r>
    </w:p>
    <w:tbl>
      <w:tblPr>
        <w:tblW w:type="pct" w:w="5000"/>
        <w:jc w:val="center"/>
        <w:tblLayout w:type="autofit"/>
        <w:tblLook w:firstColumn="1" w:firstRow="1" w:lastColumn="0" w:lastRow="0" w:noHBand="0" w:noVBand="1" w:val="04A0"/>
      </w:tblPr>
      <w:tblGrid>
        <w:gridCol w:w="1512"/>
        <w:gridCol w:w="1512"/>
        <w:gridCol w:w="1512"/>
        <w:gridCol w:w="1512"/>
        <w:gridCol w:w="1512"/>
        <w:gridCol w:w="1512"/>
      </w:tblGrid>
      <w:tr>
        <w:trPr>
          <w:tblHeader w:val="true"/>
          <w:cantSplit/>
          <w:tblHeader w:val="true"/>
          <w:cantSplit/>
        </w:trPr>
        <w:tc>
          <w:tcPr>
            <w:tcW w:type="dxa" w:w="90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Panel</w:t>
            </w:r>
          </w:p>
        </w:tc>
        <w:tc>
          <w:tcPr>
            <w:tcW w:type="dxa" w:w="283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规格或诊断</w:t>
            </w:r>
          </w:p>
        </w:tc>
        <w:tc>
          <w:tcPr>
            <w:tcW w:type="dxa" w:w="198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BMI系数（SE）</w:t>
            </w:r>
          </w:p>
        </w:tc>
        <w:tc>
          <w:tcPr>
            <w:tcW w:type="dxa" w:w="266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SalesGrowth(t−1)系数（SE）</w:t>
            </w:r>
          </w:p>
        </w:tc>
        <w:tc>
          <w:tcPr>
            <w:tcW w:type="dxa" w:w="1247"/>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滞后项p值</w:t>
            </w:r>
          </w:p>
        </w:tc>
        <w:tc>
          <w:tcPr>
            <w:tcW w:type="dxa" w:w="1361"/>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6"/>
              </w:rPr>
              <w:t>N</w:t>
            </w:r>
          </w:p>
        </w:tc>
      </w:tr>
      <w:tr>
        <w:trPr>
          <w:cantSplit/>
        </w:trPr>
        <w:tc>
          <w:tcPr>
            <w:tcW w:type="dxa" w:w="907"/>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Panel A</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原基准模型</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0.0302</w:t>
              <w:br/>
              <w:t>(0.0069)</w:t>
            </w:r>
          </w:p>
        </w:tc>
        <w:tc>
          <w:tcPr>
            <w:tcW w:type="dxa" w:w="266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w:t>
            </w:r>
          </w:p>
        </w:tc>
        <w:tc>
          <w:tcPr>
            <w:tcW w:type="dxa" w:w="136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r>
      <w:tr>
        <w:trPr>
          <w:cantSplit/>
        </w:trPr>
        <w:tc>
          <w:tcPr>
            <w:tcW w:type="dxa" w:w="907"/>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同样本基准</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0.0282</w:t>
              <w:br/>
              <w:t>(0.0069)</w:t>
            </w:r>
          </w:p>
        </w:tc>
        <w:tc>
          <w:tcPr>
            <w:tcW w:type="dxa" w:w="266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w:t>
            </w:r>
          </w:p>
        </w:tc>
        <w:tc>
          <w:tcPr>
            <w:tcW w:type="dxa" w:w="136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11,921</w:t>
            </w:r>
          </w:p>
        </w:tc>
      </w:tr>
      <w:tr>
        <w:trPr>
          <w:cantSplit/>
        </w:trPr>
        <w:tc>
          <w:tcPr>
            <w:tcW w:type="dxa" w:w="907"/>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加入SalesGrowth(t−1)</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0.0282</w:t>
              <w:br/>
              <w:t>(0.0069)</w:t>
            </w:r>
          </w:p>
        </w:tc>
        <w:tc>
          <w:tcPr>
            <w:tcW w:type="dxa" w:w="266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0.0126</w:t>
              <w:br/>
              <w:t>(0.0072)</w:t>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0.080</w:t>
            </w:r>
          </w:p>
        </w:tc>
        <w:tc>
          <w:tcPr>
            <w:tcW w:type="dxa" w:w="136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11,921</w:t>
            </w:r>
          </w:p>
        </w:tc>
      </w:tr>
      <w:tr>
        <w:trPr>
          <w:cantSplit/>
        </w:trPr>
        <w:tc>
          <w:tcPr>
            <w:tcW w:type="dxa" w:w="907"/>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t>Panel B</w:t>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原始混合相关系数</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0.472</w:t>
            </w:r>
          </w:p>
        </w:tc>
        <w:tc>
          <w:tcPr>
            <w:tcW w:type="dxa" w:w="266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36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r>
      <w:tr>
        <w:trPr>
          <w:cantSplit/>
        </w:trPr>
        <w:tc>
          <w:tcPr>
            <w:tcW w:type="dxa" w:w="907"/>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企业内去均值相关系数</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0.185</w:t>
            </w:r>
          </w:p>
        </w:tc>
        <w:tc>
          <w:tcPr>
            <w:tcW w:type="dxa" w:w="266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36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r>
      <w:tr>
        <w:trPr>
          <w:cantSplit/>
        </w:trPr>
        <w:tc>
          <w:tcPr>
            <w:tcW w:type="dxa" w:w="907"/>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6"/>
              </w:rPr>
            </w:r>
          </w:p>
        </w:tc>
        <w:tc>
          <w:tcPr>
            <w:tcW w:type="dxa" w:w="283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BMI的within VIF</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1.037</w:t>
            </w:r>
          </w:p>
        </w:tc>
        <w:tc>
          <w:tcPr>
            <w:tcW w:type="dxa" w:w="2665"/>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247"/>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361"/>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r>
      <w:tr>
        <w:trPr>
          <w:cantSplit/>
        </w:trPr>
        <w:tc>
          <w:tcPr>
            <w:tcW w:type="dxa" w:w="907"/>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6"/>
              </w:rPr>
            </w:r>
          </w:p>
        </w:tc>
        <w:tc>
          <w:tcPr>
            <w:tcW w:type="dxa" w:w="2835"/>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NonBMI的within VIF</w:t>
            </w:r>
          </w:p>
        </w:tc>
        <w:tc>
          <w:tcPr>
            <w:tcW w:type="dxa" w:w="198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1.034</w:t>
            </w:r>
          </w:p>
        </w:tc>
        <w:tc>
          <w:tcPr>
            <w:tcW w:type="dxa" w:w="2665"/>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247"/>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r>
          </w:p>
        </w:tc>
        <w:tc>
          <w:tcPr>
            <w:tcW w:type="dxa" w:w="1361"/>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6"/>
              </w:rPr>
              <w:t>13,980</w:t>
            </w:r>
          </w:p>
        </w:tc>
      </w:tr>
    </w:tbl>
    <w:p>
      <w:pPr>
        <w:pStyle w:val="TableNote"/>
        <w:widowControl/>
      </w:pPr>
      <w:r>
        <w:rPr>
          <w:b/>
        </w:rPr>
        <w:t>注：</w:t>
      </w:r>
      <w:r>
        <w:t>Panel A沿用公司与年份固定效应及公司聚类标准误；后两列使用同一组11,921个公司年度。SalesGrowth(t−1)的95%置信区间为[-0.0015, 0.0267]。Panel B的VIF在类型联合模型样本上吸收公司和年份固定效应后计算。</w:t>
      </w:r>
    </w:p>
    <w:p>
      <w:pPr>
        <w:pStyle w:val="Heading1"/>
        <w:keepNext/>
        <w:keepLines/>
        <w:pageBreakBefore/>
        <w:widowControl/>
      </w:pPr>
      <w:r>
        <w:rPr>
          <w:color w:val="000000"/>
        </w:rPr>
        <w:t>附录C 时间外预测</w:t>
      </w:r>
    </w:p>
    <w:p>
      <w:pPr>
        <w:keepNext/>
        <w:keepLines w:val="0"/>
        <w:widowControl/>
        <w:jc w:val="center"/>
      </w:pPr>
      <w:r>
        <w:rPr>
          <w:b/>
        </w:rPr>
        <w:t>表C1 时间外预测结果</w:t>
      </w:r>
    </w:p>
    <w:tbl>
      <w:tblPr>
        <w:tblW w:type="pct" w:w="5000"/>
        <w:jc w:val="center"/>
        <w:tblLayout w:type="autofit"/>
        <w:tblLook w:firstColumn="1" w:firstRow="1" w:lastColumn="0" w:lastRow="0" w:noHBand="0" w:noVBand="1" w:val="04A0"/>
      </w:tblPr>
      <w:tblGrid>
        <w:gridCol w:w="2268"/>
        <w:gridCol w:w="2268"/>
        <w:gridCol w:w="2268"/>
        <w:gridCol w:w="2268"/>
      </w:tblGrid>
      <w:tr>
        <w:trPr>
          <w:tblHeader w:val="true"/>
          <w:cantSplit/>
          <w:tblHeader w:val="true"/>
          <w:cantSplit/>
        </w:trPr>
        <w:tc>
          <w:tcPr>
            <w:tcW w:type="dxa" w:w="4025"/>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模型</w:t>
            </w:r>
          </w:p>
        </w:tc>
        <w:tc>
          <w:tcPr>
            <w:tcW w:type="dxa" w:w="198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测试观测</w:t>
            </w:r>
          </w:p>
        </w:tc>
        <w:tc>
          <w:tcPr>
            <w:tcW w:type="dxa" w:w="215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RMSE</w:t>
            </w:r>
          </w:p>
        </w:tc>
        <w:tc>
          <w:tcPr>
            <w:tcW w:type="dxa" w:w="215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MAE</w:t>
            </w:r>
          </w:p>
        </w:tc>
      </w:tr>
      <w:tr>
        <w:trPr>
          <w:cantSplit/>
        </w:trPr>
        <w:tc>
          <w:tcPr>
            <w:tcW w:type="dxa" w:w="402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Financial</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8,338</w:t>
            </w:r>
          </w:p>
        </w:tc>
        <w:tc>
          <w:tcPr>
            <w:tcW w:type="dxa" w:w="215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0.286925</w:t>
            </w:r>
          </w:p>
        </w:tc>
        <w:tc>
          <w:tcPr>
            <w:tcW w:type="dxa" w:w="215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0.201566</w:t>
            </w:r>
          </w:p>
        </w:tc>
      </w:tr>
      <w:tr>
        <w:trPr>
          <w:cantSplit/>
        </w:trPr>
        <w:tc>
          <w:tcPr>
            <w:tcW w:type="dxa" w:w="4025"/>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Financial+BMI</w:t>
            </w:r>
          </w:p>
        </w:tc>
        <w:tc>
          <w:tcPr>
            <w:tcW w:type="dxa" w:w="198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8,338</w:t>
            </w:r>
          </w:p>
        </w:tc>
        <w:tc>
          <w:tcPr>
            <w:tcW w:type="dxa" w:w="215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0.286734</w:t>
            </w:r>
          </w:p>
        </w:tc>
        <w:tc>
          <w:tcPr>
            <w:tcW w:type="dxa" w:w="215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0.201546</w:t>
            </w:r>
          </w:p>
        </w:tc>
      </w:tr>
      <w:tr>
        <w:trPr>
          <w:cantSplit/>
        </w:trPr>
        <w:tc>
          <w:tcPr>
            <w:tcW w:type="dxa" w:w="4025"/>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Financial+TotalDigital</w:t>
            </w:r>
          </w:p>
        </w:tc>
        <w:tc>
          <w:tcPr>
            <w:tcW w:type="dxa" w:w="198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8,338</w:t>
            </w:r>
          </w:p>
        </w:tc>
        <w:tc>
          <w:tcPr>
            <w:tcW w:type="dxa" w:w="215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0.286776</w:t>
            </w:r>
          </w:p>
        </w:tc>
        <w:tc>
          <w:tcPr>
            <w:tcW w:type="dxa" w:w="215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0.201556</w:t>
            </w:r>
          </w:p>
        </w:tc>
      </w:tr>
    </w:tbl>
    <w:p>
      <w:pPr>
        <w:pStyle w:val="TableNote"/>
        <w:keepLines/>
        <w:widowControl/>
      </w:pPr>
      <w:r>
        <w:t>注：测试样本共8,338个公司年度。企业聚类bootstrap基于既定预测误差重抽样，没有在每次抽样中重新估计模型；Financial+BMI相对Financial的均方误差差值95%区间为[-0.000220, -0.000010]。</w:t>
      </w:r>
    </w:p>
    <w:p>
      <w:pPr>
        <w:pStyle w:val="Heading1"/>
        <w:keepNext/>
        <w:keepLines/>
        <w:pageBreakBefore/>
        <w:widowControl/>
      </w:pPr>
      <w:r>
        <w:rPr>
          <w:color w:val="000000"/>
        </w:rPr>
        <w:t>附录D 资本市场补充分析</w:t>
      </w:r>
    </w:p>
    <w:p>
      <w:pPr>
        <w:keepNext/>
        <w:keepLines w:val="0"/>
        <w:widowControl/>
        <w:jc w:val="center"/>
      </w:pPr>
      <w:r>
        <w:rPr>
          <w:b/>
        </w:rPr>
        <w:t>表D1 首次年报提交日的资本市场结果</w:t>
      </w:r>
    </w:p>
    <w:tbl>
      <w:tblPr>
        <w:tblW w:type="pct" w:w="5000"/>
        <w:jc w:val="center"/>
        <w:tblLayout w:type="autofit"/>
        <w:tblLook w:firstColumn="1" w:firstRow="1" w:lastColumn="0" w:lastRow="0" w:noHBand="0" w:noVBand="1" w:val="04A0"/>
      </w:tblPr>
      <w:tblGrid>
        <w:gridCol w:w="2268"/>
        <w:gridCol w:w="2268"/>
        <w:gridCol w:w="2268"/>
        <w:gridCol w:w="2268"/>
      </w:tblGrid>
      <w:tr>
        <w:trPr>
          <w:tblHeader w:val="true"/>
          <w:cantSplit/>
          <w:tblHeader w:val="true"/>
          <w:cantSplit/>
        </w:trPr>
        <w:tc>
          <w:tcPr>
            <w:tcW w:type="dxa" w:w="3969"/>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因变量</w:t>
            </w:r>
          </w:p>
        </w:tc>
        <w:tc>
          <w:tcPr>
            <w:tcW w:type="dxa" w:w="3402"/>
            <w:tcBorders>
              <w:top w:val="single" w:sz="10" w:color="000000"/>
              <w:bottom w:val="single" w:sz="6" w:color="000000"/>
              <w:left w:val="nil"/>
              <w:right w:val="nil"/>
            </w:tcBorders>
            <w:vAlign w:val="center"/>
          </w:tcPr>
          <w:p>
            <w:pPr>
              <w:spacing w:before="0" w:after="0" w:line="240" w:lineRule="auto"/>
              <w:jc w:val="center"/>
            </w:pPr>
            <w:r>
              <w:rPr>
                <w:rFonts w:ascii="宋体" w:hAnsi="宋体" w:eastAsia="宋体"/>
                <w:b/>
                <w:sz w:val="17"/>
              </w:rPr>
              <w:t>TotalDigital系数（标准误）</w:t>
            </w:r>
          </w:p>
        </w:tc>
        <w:tc>
          <w:tcPr>
            <w:tcW w:type="dxa" w:w="113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p值</w:t>
            </w:r>
          </w:p>
        </w:tc>
        <w:tc>
          <w:tcPr>
            <w:tcW w:type="dxa" w:w="1304"/>
            <w:tcBorders>
              <w:top w:val="single" w:sz="10" w:color="000000"/>
              <w:bottom w:val="single" w:sz="6" w:color="000000"/>
              <w:left w:val="nil"/>
              <w:right w:val="nil"/>
            </w:tcBorders>
            <w:vAlign w:val="center"/>
          </w:tcPr>
          <w:p>
            <w:pPr>
              <w:spacing w:line="240" w:lineRule="auto" w:before="0" w:after="0"/>
              <w:ind w:firstLine="0"/>
              <w:jc w:val="center"/>
            </w:pPr>
            <w:r>
              <w:rPr>
                <w:rFonts w:ascii="宋体" w:hAnsi="宋体" w:eastAsia="宋体"/>
                <w:b/>
                <w:color w:val="000000"/>
                <w:sz w:val="17"/>
              </w:rPr>
              <w:t>N</w:t>
            </w:r>
          </w:p>
        </w:tc>
      </w:tr>
      <w:tr>
        <w:trPr>
          <w:cantSplit/>
        </w:trPr>
        <w:tc>
          <w:tcPr>
            <w:tcW w:type="dxa" w:w="3969"/>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市场调整CAR[0,+2]</w:t>
            </w:r>
          </w:p>
        </w:tc>
        <w:tc>
          <w:tcPr>
            <w:tcW w:type="dxa" w:w="3402"/>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-0.0018</w:t>
              <w:br/>
              <w:t>(0.0017)</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0.282</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16,062</w:t>
            </w:r>
          </w:p>
        </w:tc>
      </w:tr>
      <w:tr>
        <w:trPr>
          <w:cantSplit/>
        </w:trPr>
        <w:tc>
          <w:tcPr>
            <w:tcW w:type="dxa" w:w="3969"/>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异常成交量[0,+2]</w:t>
            </w:r>
          </w:p>
        </w:tc>
        <w:tc>
          <w:tcPr>
            <w:tcW w:type="dxa" w:w="3402"/>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-0.0296</w:t>
              <w:br/>
              <w:t>(0.0261)</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0.259</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16,062</w:t>
            </w:r>
          </w:p>
        </w:tc>
      </w:tr>
      <w:tr>
        <w:trPr>
          <w:cantSplit/>
        </w:trPr>
        <w:tc>
          <w:tcPr>
            <w:tcW w:type="dxa" w:w="3969"/>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异常绝对收益[0,+2]</w:t>
            </w:r>
          </w:p>
        </w:tc>
        <w:tc>
          <w:tcPr>
            <w:tcW w:type="dxa" w:w="3402"/>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-0.0240</w:t>
              <w:br/>
              <w:t>(0.0158)</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0.130</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16,062</w:t>
            </w:r>
          </w:p>
        </w:tc>
      </w:tr>
      <w:tr>
        <w:trPr>
          <w:cantSplit/>
        </w:trPr>
        <w:tc>
          <w:tcPr>
            <w:tcW w:type="dxa" w:w="3969"/>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非流动性变化[0,+2]</w:t>
            </w:r>
          </w:p>
        </w:tc>
        <w:tc>
          <w:tcPr>
            <w:tcW w:type="dxa" w:w="3402"/>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0.0087</w:t>
              <w:br/>
              <w:t>(0.0193)</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0.651</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15,440</w:t>
            </w:r>
          </w:p>
        </w:tc>
      </w:tr>
      <w:tr>
        <w:trPr>
          <w:cantSplit/>
        </w:trPr>
        <w:tc>
          <w:tcPr>
            <w:tcW w:type="dxa" w:w="3969"/>
            <w:tcBorders>
              <w:top w:val="nil"/>
              <w:bottom w:val="nil"/>
              <w:left w:val="nil"/>
              <w:right w:val="nil"/>
            </w:tcBorders>
            <w:vAlign w:val="center"/>
          </w:tcPr>
          <w:p>
            <w:pPr>
              <w:spacing w:line="240" w:lineRule="auto" w:before="0" w:after="0"/>
              <w:ind w:firstLine="0"/>
              <w:jc w:val="left"/>
            </w:pPr>
            <w:r>
              <w:rPr>
                <w:rFonts w:ascii="宋体" w:hAnsi="宋体" w:eastAsia="宋体"/>
                <w:b w:val="0"/>
                <w:color w:val="000000"/>
                <w:sz w:val="17"/>
              </w:rPr>
              <w:t>市场调整BHAR[0,+20]</w:t>
            </w:r>
          </w:p>
        </w:tc>
        <w:tc>
          <w:tcPr>
            <w:tcW w:type="dxa" w:w="3402"/>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-0.0030</w:t>
              <w:br/>
              <w:t>(0.0043)</w:t>
            </w:r>
          </w:p>
        </w:tc>
        <w:tc>
          <w:tcPr>
            <w:tcW w:type="dxa" w:w="113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0.488</w:t>
            </w:r>
          </w:p>
        </w:tc>
        <w:tc>
          <w:tcPr>
            <w:tcW w:type="dxa" w:w="1304"/>
            <w:tcBorders>
              <w:top w:val="nil"/>
              <w:bottom w:val="nil"/>
              <w:left w:val="nil"/>
              <w:right w:val="nil"/>
            </w:tcBorders>
            <w:vAlign w:val="center"/>
          </w:tcPr>
          <w:p>
            <w:pPr>
              <w:spacing w:line="240" w:lineRule="auto" w:before="0" w:after="0"/>
              <w:ind w:firstLine="0"/>
              <w:jc w:val="center"/>
            </w:pPr>
            <w:r>
              <w:rPr>
                <w:rFonts w:ascii="宋体" w:hAnsi="宋体" w:eastAsia="宋体"/>
                <w:b w:val="0"/>
                <w:color w:val="000000"/>
                <w:sz w:val="17"/>
              </w:rPr>
              <w:t>16,051</w:t>
            </w:r>
          </w:p>
        </w:tc>
      </w:tr>
      <w:tr>
        <w:trPr>
          <w:cantSplit/>
        </w:trPr>
        <w:tc>
          <w:tcPr>
            <w:tcW w:type="dxa" w:w="3969"/>
            <w:tcBorders>
              <w:top w:val="nil"/>
              <w:bottom w:val="single" w:sz="10" w:color="000000"/>
              <w:left w:val="nil"/>
              <w:right w:val="nil"/>
            </w:tcBorders>
            <w:vAlign w:val="center"/>
          </w:tcPr>
          <w:p>
            <w:pPr>
              <w:spacing w:line="240" w:lineRule="auto" w:before="0" w:after="0"/>
              <w:ind w:firstLine="0"/>
              <w:jc w:val="left"/>
            </w:pPr>
            <w:r>
              <w:rPr>
                <w:rFonts w:ascii="宋体" w:hAnsi="宋体" w:eastAsia="宋体"/>
                <w:b w:val="0"/>
                <w:color w:val="000000"/>
                <w:sz w:val="17"/>
              </w:rPr>
              <w:t>市场调整BHAR[0,+60]</w:t>
            </w:r>
          </w:p>
        </w:tc>
        <w:tc>
          <w:tcPr>
            <w:tcW w:type="dxa" w:w="3402"/>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0.0032</w:t>
              <w:br/>
              <w:t>(0.0056)</w:t>
            </w:r>
          </w:p>
        </w:tc>
        <w:tc>
          <w:tcPr>
            <w:tcW w:type="dxa" w:w="113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0.568</w:t>
            </w:r>
          </w:p>
        </w:tc>
        <w:tc>
          <w:tcPr>
            <w:tcW w:type="dxa" w:w="1304"/>
            <w:tcBorders>
              <w:top w:val="nil"/>
              <w:bottom w:val="single" w:sz="10" w:color="000000"/>
              <w:left w:val="nil"/>
              <w:right w:val="nil"/>
            </w:tcBorders>
            <w:vAlign w:val="center"/>
          </w:tcPr>
          <w:p>
            <w:pPr>
              <w:spacing w:line="240" w:lineRule="auto" w:before="0" w:after="0"/>
              <w:ind w:firstLine="0"/>
              <w:jc w:val="center"/>
            </w:pPr>
            <w:r>
              <w:rPr>
                <w:rFonts w:ascii="宋体" w:hAnsi="宋体" w:eastAsia="宋体"/>
                <w:b w:val="0"/>
                <w:color w:val="000000"/>
                <w:sz w:val="17"/>
              </w:rPr>
              <w:t>15,986</w:t>
            </w:r>
          </w:p>
        </w:tc>
      </w:tr>
    </w:tbl>
    <w:p>
      <w:pPr>
        <w:pStyle w:val="TableNote"/>
        <w:keepLines/>
        <w:widowControl/>
      </w:pPr>
      <w:r>
        <w:t>注：实质性数字披露总量即正文中的TotalDigital。括号内为公司与首次申报事件交易日双向聚类标准误。</w:t>
      </w:r>
    </w:p>
    <w:sectPr w:rsidR="00FC693F" w:rsidRPr="0006063C" w:rsidSect="00034616">
      <w:footerReference w:type="default" r:id="rId9"/>
      <w:pgSz w:w="11906" w:h="16838"/>
      <w:pgMar w:top="1332" w:right="1389" w:bottom="1247" w:left="1446"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12"/>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ind w:firstLine="0"/>
      <w:outlineLvl w:val="0"/>
    </w:pPr>
    <w:rPr>
      <w:rFonts w:asciiTheme="majorHAnsi" w:eastAsiaTheme="majorEastAsia" w:hAnsiTheme="majorHAnsi" w:cstheme="majorBidi" w:ascii="宋体" w:hAnsi="宋体" w:eastAsia="黑体"/>
      <w:b/>
      <w:bCs/>
      <w:color w:val="000000"/>
      <w:sz w:val="31"/>
      <w:szCs w:val="28"/>
    </w:rPr>
  </w:style>
  <w:style w:type="paragraph" w:styleId="Heading2">
    <w:name w:val="heading 2"/>
    <w:basedOn w:val="Normal"/>
    <w:next w:val="Normal"/>
    <w:link w:val="Heading2Char"/>
    <w:uiPriority w:val="9"/>
    <w:unhideWhenUsed/>
    <w:qFormat/>
    <w:rsid w:val="00FC693F"/>
    <w:pPr>
      <w:keepNext/>
      <w:keepLines/>
      <w:widowControl/>
      <w:spacing w:before="180" w:after="100"/>
      <w:ind w:firstLine="0"/>
      <w:outlineLvl w:val="1"/>
    </w:pPr>
    <w:rPr>
      <w:rFonts w:asciiTheme="majorHAnsi" w:eastAsiaTheme="majorEastAsia" w:hAnsiTheme="majorHAnsi" w:cstheme="majorBidi" w:ascii="宋体" w:hAnsi="宋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80" w:after="100"/>
      <w:ind w:firstLine="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100" w:line="240" w:lineRule="auto" w:before="0"/>
      <w:ind w:firstLine="0"/>
      <w:contextualSpacing/>
    </w:pPr>
    <w:rPr>
      <w:rFonts w:asciiTheme="majorHAnsi" w:eastAsiaTheme="majorEastAsia" w:hAnsiTheme="majorHAnsi" w:cstheme="majorBidi" w:ascii="宋体" w:hAnsi="宋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180" w:after="100"/>
      <w:ind w:firstLine="0"/>
    </w:pPr>
    <w:rPr>
      <w:rFonts w:asciiTheme="majorHAnsi" w:eastAsiaTheme="majorEastAsia" w:hAnsiTheme="majorHAnsi" w:cstheme="majorBidi" w:ascii="宋体" w:hAnsi="宋体" w:eastAsia="宋体"/>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line="264" w:lineRule="auto" w:after="60"/>
      <w:ind w:firstLine="0"/>
    </w:pPr>
    <w:rPr>
      <w:rFonts w:ascii="宋体" w:hAnsi="宋体" w:eastAsia="宋体"/>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商业模式导向型数字披露与后续资产使用效率</dc:title>
  <dc:subject>最终结构收紧、排版修复与语言自然化版本</dc:subject>
  <dc:creator>研究者</dc:creator>
  <cp:keywords>数字化转型, 商业模式创新, 企业披露, 文本分析, 资产周转率, 韩国上市公司</cp:keywords>
  <dc:description>本版本保留既有实证范围；新增研究建议另列于FUTURE_RESEARCH_NOTES。</dc:description>
  <cp:lastModifiedBy/>
  <cp:revision>1</cp:revision>
  <dcterms:created xsi:type="dcterms:W3CDTF">2013-12-23T23:15:00Z</dcterms:created>
  <dcterms:modified xsi:type="dcterms:W3CDTF">2013-12-23T23:15:00Z</dcterms:modified>
  <cp:category/>
</cp:coreProperties>
</file>