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360"/>
        <w:jc w:val="center"/>
      </w:pPr>
      <w:r>
        <w:rPr>
          <w:rFonts w:ascii="Calibri" w:hAnsi="Calibri" w:eastAsia="Microsoft YaHei"/>
          <w:b/>
          <w:color w:val="2E74B5"/>
          <w:sz w:val="22"/>
        </w:rPr>
        <w:t>正式实证分析报告</w:t>
      </w:r>
    </w:p>
    <w:p>
      <w:pPr>
        <w:spacing w:after="200"/>
        <w:jc w:val="center"/>
      </w:pPr>
      <w:r>
        <w:rPr>
          <w:rFonts w:ascii="Calibri" w:hAnsi="Calibri" w:eastAsia="Microsoft YaHei"/>
          <w:b/>
          <w:color w:val="1F4D78"/>
          <w:sz w:val="52"/>
        </w:rPr>
        <w:t>企业数字化战略的“双轮驱动”效应</w:t>
      </w:r>
    </w:p>
    <w:p>
      <w:pPr>
        <w:spacing w:after="600"/>
        <w:jc w:val="center"/>
      </w:pPr>
      <w:r>
        <w:rPr>
          <w:rFonts w:ascii="Calibri" w:hAnsi="Calibri" w:eastAsia="Microsoft YaHei"/>
          <w:color w:val="2E74B5"/>
          <w:sz w:val="28"/>
        </w:rPr>
        <w:t>内部商业模式重构与外部资本市场信号：来自韩国上市公司的证据</w:t>
      </w:r>
    </w:p>
    <w:p>
      <w:pPr>
        <w:pBdr>
          <w:bottom w:val="single" w:sz="10" w:space="6" w:color="2E74B5"/>
        </w:pBdr>
      </w:pPr>
    </w:p>
    <w:p/>
    <w:p/>
    <w:p/>
    <w:tbl>
      <w:tblPr>
        <w:tblW w:type="dxa" w:w="9360"/>
        <w:jc w:val="left"/>
        <w:tblLayout w:type="fixed"/>
        <w:tblLook w:firstColumn="1" w:firstRow="1" w:lastColumn="0" w:lastRow="0" w:noHBand="0" w:noVBand="1" w:val="04A0"/>
        <w:tblInd w:w="120" w:type="dxa"/>
        <w:tblBorders>
          <w:top w:val="single" w:sz="4" w:space="0" w:color="D6DEE6"/>
          <w:left w:val="single" w:sz="4" w:space="0" w:color="D6DEE6"/>
          <w:bottom w:val="single" w:sz="4" w:space="0" w:color="D6DEE6"/>
          <w:right w:val="single" w:sz="4" w:space="0" w:color="D6DEE6"/>
          <w:insideH w:val="single" w:sz="4" w:space="0" w:color="D6DEE6"/>
          <w:insideV w:val="single" w:sz="4" w:space="0" w:color="D6DEE6"/>
        </w:tblBorders>
      </w:tblPr>
      <w:tblGrid>
        <w:gridCol w:w="2000"/>
        <w:gridCol w:w="7360"/>
      </w:tblGrid>
      <w:tr>
        <w:trPr>
          <w:cantSplit/>
        </w:trPr>
        <w:tc>
          <w:tcPr>
            <w:tcW w:type="dxa" w:w="2000"/>
            <w:shd w:fill="1F4D78"/>
            <w:vAlign w:val="center"/>
            <w:tcMar>
              <w:top w:w="80" w:type="dxa"/>
              <w:start w:w="120" w:type="dxa"/>
              <w:bottom w:w="80" w:type="dxa"/>
              <w:end w:w="120" w:type="dxa"/>
            </w:tcMar>
          </w:tcPr>
          <w:p>
            <w:pPr>
              <w:spacing w:after="0"/>
              <w:jc w:val="center"/>
            </w:pPr>
            <w:r>
              <w:rPr>
                <w:rFonts w:ascii="Calibri" w:hAnsi="Calibri" w:eastAsia="Microsoft YaHei"/>
                <w:b/>
                <w:color w:val="FFFFFF"/>
                <w:sz w:val="20"/>
              </w:rPr>
              <w:t>样本</w:t>
            </w:r>
          </w:p>
        </w:tc>
        <w:tc>
          <w:tcPr>
            <w:tcW w:type="dxa" w:w="7360"/>
            <w:shd w:fill="1F4D78"/>
            <w:vAlign w:val="center"/>
            <w:tcMar>
              <w:top w:w="80" w:type="dxa"/>
              <w:start w:w="120" w:type="dxa"/>
              <w:bottom w:w="80" w:type="dxa"/>
              <w:end w:w="120" w:type="dxa"/>
            </w:tcMar>
          </w:tcPr>
          <w:p>
            <w:pPr>
              <w:spacing w:after="0"/>
              <w:jc w:val="center"/>
            </w:pPr>
            <w:r>
              <w:rPr>
                <w:rFonts w:ascii="Calibri" w:hAnsi="Calibri" w:eastAsia="Microsoft YaHei"/>
                <w:b/>
                <w:color w:val="FFFFFF"/>
                <w:sz w:val="20"/>
              </w:rPr>
              <w:t>2,402家公司，22,654个公司年度</w:t>
            </w:r>
          </w:p>
        </w:tc>
      </w:tr>
      <w:tr>
        <w:trPr>
          <w:cantSplit/>
        </w:trPr>
        <w:tc>
          <w:tcPr>
            <w:tcW w:type="dxa" w:w="2000"/>
            <w:vAlign w:val="center"/>
            <w:tcMar>
              <w:top w:w="80" w:type="dxa"/>
              <w:start w:w="120" w:type="dxa"/>
              <w:bottom w:w="80" w:type="dxa"/>
              <w:end w:w="120" w:type="dxa"/>
            </w:tcMar>
          </w:tcPr>
          <w:p>
            <w:pPr>
              <w:spacing w:after="0" w:line="252" w:lineRule="auto"/>
            </w:pPr>
            <w:r>
              <w:rPr>
                <w:rFonts w:ascii="Calibri" w:hAnsi="Calibri" w:eastAsia="Microsoft YaHei"/>
                <w:color w:val="1F2933"/>
                <w:sz w:val="20"/>
              </w:rPr>
              <w:t>期间</w:t>
            </w:r>
          </w:p>
        </w:tc>
        <w:tc>
          <w:tcPr>
            <w:tcW w:type="dxa" w:w="7360"/>
            <w:vAlign w:val="center"/>
            <w:tcMar>
              <w:top w:w="80" w:type="dxa"/>
              <w:start w:w="120" w:type="dxa"/>
              <w:bottom w:w="80" w:type="dxa"/>
              <w:end w:w="120" w:type="dxa"/>
            </w:tcMar>
          </w:tcPr>
          <w:p>
            <w:pPr>
              <w:spacing w:after="0" w:line="252" w:lineRule="auto"/>
            </w:pPr>
            <w:r>
              <w:rPr>
                <w:rFonts w:ascii="Calibri" w:hAnsi="Calibri" w:eastAsia="Microsoft YaHei"/>
                <w:color w:val="1F2933"/>
                <w:sz w:val="20"/>
              </w:rPr>
              <w:t>2015-2025财年</w:t>
            </w:r>
          </w:p>
        </w:tc>
      </w:tr>
      <w:tr>
        <w:trPr>
          <w:cantSplit/>
        </w:trPr>
        <w:tc>
          <w:tcPr>
            <w:tcW w:type="dxa" w:w="2000"/>
            <w:shd w:fill="F4F6F9"/>
            <w:vAlign w:val="center"/>
            <w:tcMar>
              <w:top w:w="80" w:type="dxa"/>
              <w:start w:w="120" w:type="dxa"/>
              <w:bottom w:w="80" w:type="dxa"/>
              <w:end w:w="120" w:type="dxa"/>
            </w:tcMar>
          </w:tcPr>
          <w:p>
            <w:pPr>
              <w:spacing w:after="0" w:line="252" w:lineRule="auto"/>
            </w:pPr>
            <w:r>
              <w:rPr>
                <w:rFonts w:ascii="Calibri" w:hAnsi="Calibri" w:eastAsia="Microsoft YaHei"/>
                <w:color w:val="1F2933"/>
                <w:sz w:val="20"/>
              </w:rPr>
              <w:t>数据</w:t>
            </w:r>
          </w:p>
        </w:tc>
        <w:tc>
          <w:tcPr>
            <w:tcW w:type="dxa" w:w="7360"/>
            <w:shd w:fill="F4F6F9"/>
            <w:vAlign w:val="center"/>
            <w:tcMar>
              <w:top w:w="80" w:type="dxa"/>
              <w:start w:w="120" w:type="dxa"/>
              <w:bottom w:w="80" w:type="dxa"/>
              <w:end w:w="120" w:type="dxa"/>
            </w:tcMar>
          </w:tcPr>
          <w:p>
            <w:pPr>
              <w:spacing w:after="0" w:line="252" w:lineRule="auto"/>
            </w:pPr>
            <w:r>
              <w:rPr>
                <w:rFonts w:ascii="Calibri" w:hAnsi="Calibri" w:eastAsia="Microsoft YaHei"/>
                <w:color w:val="1F2933"/>
                <w:sz w:val="20"/>
              </w:rPr>
              <w:t>DART韩文年报、OpenDART财务数据、韩国股票与市场指数</w:t>
            </w:r>
          </w:p>
        </w:tc>
      </w:tr>
      <w:tr>
        <w:trPr>
          <w:cantSplit/>
        </w:trPr>
        <w:tc>
          <w:tcPr>
            <w:tcW w:type="dxa" w:w="2000"/>
            <w:vAlign w:val="center"/>
            <w:tcMar>
              <w:top w:w="80" w:type="dxa"/>
              <w:start w:w="120" w:type="dxa"/>
              <w:bottom w:w="80" w:type="dxa"/>
              <w:end w:w="120" w:type="dxa"/>
            </w:tcMar>
          </w:tcPr>
          <w:p>
            <w:pPr>
              <w:spacing w:after="0" w:line="252" w:lineRule="auto"/>
            </w:pPr>
            <w:r>
              <w:rPr>
                <w:rFonts w:ascii="Calibri" w:hAnsi="Calibri" w:eastAsia="Microsoft YaHei"/>
                <w:color w:val="1F2933"/>
                <w:sz w:val="20"/>
              </w:rPr>
              <w:t>版本</w:t>
            </w:r>
          </w:p>
        </w:tc>
        <w:tc>
          <w:tcPr>
            <w:tcW w:type="dxa" w:w="7360"/>
            <w:vAlign w:val="center"/>
            <w:tcMar>
              <w:top w:w="80" w:type="dxa"/>
              <w:start w:w="120" w:type="dxa"/>
              <w:bottom w:w="80" w:type="dxa"/>
              <w:end w:w="120" w:type="dxa"/>
            </w:tcMar>
          </w:tcPr>
          <w:p>
            <w:pPr>
              <w:spacing w:after="0" w:line="252" w:lineRule="auto"/>
            </w:pPr>
            <w:r>
              <w:rPr>
                <w:rFonts w:ascii="Calibri" w:hAnsi="Calibri" w:eastAsia="Microsoft YaHei"/>
                <w:color w:val="1F2933"/>
                <w:sz w:val="20"/>
              </w:rPr>
              <w:t>冻结数据与模型审计正式版，2026-08-16</w:t>
            </w:r>
          </w:p>
        </w:tc>
      </w:tr>
    </w:tbl>
    <w:p>
      <w:pPr>
        <w:spacing w:after="20"/>
      </w:pPr>
    </w:p>
    <w:p>
      <w:r>
        <w:br w:type="page"/>
      </w:r>
    </w:p>
    <w:p>
      <w:pPr>
        <w:pStyle w:val="Heading1"/>
      </w:pPr>
      <w:r>
        <w:t>报告结构</w:t>
      </w:r>
    </w:p>
    <w:p>
      <w:pPr>
        <w:pStyle w:val="ListBullet"/>
        <w:spacing w:after="80" w:line="290" w:lineRule="auto"/>
      </w:pPr>
      <w:r>
        <w:rPr>
          <w:rFonts w:ascii="Calibri" w:hAnsi="Calibri" w:eastAsia="Microsoft YaHei"/>
          <w:color w:val="1F2933"/>
          <w:sz w:val="22"/>
        </w:rPr>
        <w:t>执行摘要</w:t>
      </w:r>
    </w:p>
    <w:p>
      <w:pPr>
        <w:pStyle w:val="ListBullet"/>
        <w:spacing w:after="80" w:line="290" w:lineRule="auto"/>
      </w:pPr>
      <w:r>
        <w:rPr>
          <w:rFonts w:ascii="Calibri" w:hAnsi="Calibri" w:eastAsia="Microsoft YaHei"/>
          <w:color w:val="1F2933"/>
          <w:sz w:val="22"/>
        </w:rPr>
        <w:t>研究问题与理论主线</w:t>
      </w:r>
    </w:p>
    <w:p>
      <w:pPr>
        <w:pStyle w:val="ListBullet"/>
        <w:spacing w:after="80" w:line="290" w:lineRule="auto"/>
      </w:pPr>
      <w:r>
        <w:rPr>
          <w:rFonts w:ascii="Calibri" w:hAnsi="Calibri" w:eastAsia="Microsoft YaHei"/>
          <w:color w:val="1F2933"/>
          <w:sz w:val="22"/>
        </w:rPr>
        <w:t>数据与样本构建</w:t>
      </w:r>
    </w:p>
    <w:p>
      <w:pPr>
        <w:pStyle w:val="ListBullet"/>
        <w:spacing w:after="80" w:line="290" w:lineRule="auto"/>
      </w:pPr>
      <w:r>
        <w:rPr>
          <w:rFonts w:ascii="Calibri" w:hAnsi="Calibri" w:eastAsia="Microsoft YaHei"/>
          <w:color w:val="1F2933"/>
          <w:sz w:val="22"/>
        </w:rPr>
        <w:t>句子级数字化战略测量</w:t>
      </w:r>
    </w:p>
    <w:p>
      <w:pPr>
        <w:pStyle w:val="ListBullet"/>
        <w:spacing w:after="80" w:line="290" w:lineRule="auto"/>
      </w:pPr>
      <w:r>
        <w:rPr>
          <w:rFonts w:ascii="Calibri" w:hAnsi="Calibri" w:eastAsia="Microsoft YaHei"/>
          <w:color w:val="1F2933"/>
          <w:sz w:val="22"/>
        </w:rPr>
        <w:t>变量与模型</w:t>
      </w:r>
    </w:p>
    <w:p>
      <w:pPr>
        <w:pStyle w:val="ListBullet"/>
        <w:spacing w:after="80" w:line="290" w:lineRule="auto"/>
      </w:pPr>
      <w:r>
        <w:rPr>
          <w:rFonts w:ascii="Calibri" w:hAnsi="Calibri" w:eastAsia="Microsoft YaHei"/>
          <w:color w:val="1F2933"/>
          <w:sz w:val="22"/>
        </w:rPr>
        <w:t>内部经营结果</w:t>
      </w:r>
    </w:p>
    <w:p>
      <w:pPr>
        <w:pStyle w:val="ListBullet"/>
        <w:spacing w:after="80" w:line="290" w:lineRule="auto"/>
      </w:pPr>
      <w:r>
        <w:rPr>
          <w:rFonts w:ascii="Calibri" w:hAnsi="Calibri" w:eastAsia="Microsoft YaHei"/>
          <w:color w:val="1F2933"/>
          <w:sz w:val="22"/>
        </w:rPr>
        <w:t>资本市场结果</w:t>
      </w:r>
    </w:p>
    <w:p>
      <w:pPr>
        <w:pStyle w:val="ListBullet"/>
        <w:spacing w:after="80" w:line="290" w:lineRule="auto"/>
      </w:pPr>
      <w:r>
        <w:rPr>
          <w:rFonts w:ascii="Calibri" w:hAnsi="Calibri" w:eastAsia="Microsoft YaHei"/>
          <w:color w:val="1F2933"/>
          <w:sz w:val="22"/>
        </w:rPr>
        <w:t>并发公告审计</w:t>
      </w:r>
    </w:p>
    <w:p>
      <w:pPr>
        <w:pStyle w:val="ListBullet"/>
        <w:spacing w:after="80" w:line="290" w:lineRule="auto"/>
      </w:pPr>
      <w:r>
        <w:rPr>
          <w:rFonts w:ascii="Calibri" w:hAnsi="Calibri" w:eastAsia="Microsoft YaHei"/>
          <w:color w:val="1F2933"/>
          <w:sz w:val="22"/>
        </w:rPr>
        <w:t>非线性、机制与稳健性</w:t>
      </w:r>
    </w:p>
    <w:p>
      <w:pPr>
        <w:pStyle w:val="ListBullet"/>
        <w:spacing w:after="80" w:line="290" w:lineRule="auto"/>
      </w:pPr>
      <w:r>
        <w:rPr>
          <w:rFonts w:ascii="Calibri" w:hAnsi="Calibri" w:eastAsia="Microsoft YaHei"/>
          <w:color w:val="1F2933"/>
          <w:sz w:val="22"/>
        </w:rPr>
        <w:t>原因解释：为何严格模型不显著</w:t>
      </w:r>
    </w:p>
    <w:p>
      <w:pPr>
        <w:pStyle w:val="ListBullet"/>
        <w:spacing w:after="80" w:line="290" w:lineRule="auto"/>
      </w:pPr>
      <w:r>
        <w:rPr>
          <w:rFonts w:ascii="Calibri" w:hAnsi="Calibri" w:eastAsia="Microsoft YaHei"/>
          <w:color w:val="1F2933"/>
          <w:sz w:val="22"/>
        </w:rPr>
        <w:t>韩国制度环境与外生冲击</w:t>
      </w:r>
    </w:p>
    <w:p>
      <w:pPr>
        <w:pStyle w:val="ListBullet"/>
        <w:spacing w:after="80" w:line="290" w:lineRule="auto"/>
      </w:pPr>
      <w:r>
        <w:rPr>
          <w:rFonts w:ascii="Calibri" w:hAnsi="Calibri" w:eastAsia="Microsoft YaHei"/>
          <w:color w:val="1F2933"/>
          <w:sz w:val="22"/>
        </w:rPr>
        <w:t>结论、贡献与限制</w:t>
      </w:r>
    </w:p>
    <w:p>
      <w:pPr>
        <w:pStyle w:val="ListBullet"/>
        <w:spacing w:after="80" w:line="290" w:lineRule="auto"/>
      </w:pPr>
      <w:r>
        <w:rPr>
          <w:rFonts w:ascii="Calibri" w:hAnsi="Calibri" w:eastAsia="Microsoft YaHei"/>
          <w:color w:val="1F2933"/>
          <w:sz w:val="22"/>
        </w:rPr>
        <w:t>复现与文件说明</w:t>
      </w:r>
    </w:p>
    <w:p>
      <w:pPr>
        <w:pStyle w:val="ListBullet"/>
        <w:spacing w:after="80" w:line="290" w:lineRule="auto"/>
      </w:pPr>
      <w:r>
        <w:rPr>
          <w:rFonts w:ascii="Calibri" w:hAnsi="Calibri" w:eastAsia="Microsoft YaHei"/>
          <w:color w:val="1F2933"/>
          <w:sz w:val="22"/>
        </w:rPr>
        <w:t>参考来源</w:t>
      </w:r>
    </w:p>
    <w:tbl>
      <w:tblPr>
        <w:tblW w:type="dxa" w:w="9360"/>
        <w:jc w:val="left"/>
        <w:tblLayout w:type="fixed"/>
        <w:tblLook w:firstColumn="1" w:firstRow="1" w:lastColumn="0" w:lastRow="0" w:noHBand="0" w:noVBand="1" w:val="04A0"/>
        <w:tblInd w:w="120" w:type="dxa"/>
        <w:tblBorders>
          <w:top w:val="single" w:sz="6" w:space="0" w:color="C6D4E0"/>
          <w:left w:val="single" w:sz="6" w:space="0" w:color="C6D4E0"/>
          <w:bottom w:val="single" w:sz="6" w:space="0" w:color="C6D4E0"/>
          <w:right w:val="single" w:sz="6" w:space="0" w:color="C6D4E0"/>
          <w:insideH w:val="single" w:sz="6" w:space="0" w:color="C6D4E0"/>
          <w:insideV w:val="single" w:sz="6" w:space="0" w:color="C6D4E0"/>
        </w:tblBorders>
      </w:tblPr>
      <w:tblGrid>
        <w:gridCol w:w="9360"/>
      </w:tblGrid>
      <w:tr>
        <w:trPr>
          <w:cantSplit/>
        </w:trPr>
        <w:tc>
          <w:tcPr>
            <w:tcW w:type="dxa" w:w="9360"/>
            <w:vAlign w:val="center"/>
            <w:tcMar>
              <w:top w:w="80" w:type="dxa"/>
              <w:start w:w="120" w:type="dxa"/>
              <w:bottom w:w="80" w:type="dxa"/>
              <w:end w:w="120" w:type="dxa"/>
            </w:tcMar>
            <w:shd w:fill="F4F6F9"/>
          </w:tcPr>
          <w:p>
            <w:pPr>
              <w:spacing w:after="0" w:line="288" w:lineRule="auto"/>
            </w:pPr>
            <w:r>
              <w:rPr>
                <w:rFonts w:ascii="Calibri" w:hAnsi="Calibri" w:eastAsia="Microsoft YaHei"/>
                <w:b/>
                <w:color w:val="1F4D78"/>
                <w:sz w:val="22"/>
              </w:rPr>
              <w:t xml:space="preserve">阅读提示 </w:t>
            </w:r>
            <w:r>
              <w:rPr>
                <w:rFonts w:ascii="Calibri" w:hAnsi="Calibri" w:eastAsia="Microsoft YaHei"/>
                <w:color w:val="1F2933"/>
                <w:sz w:val="22"/>
              </w:rPr>
              <w:t>本报告把确认性模型、探索性模型与尚待数据支持的因果扩展明确分开。统计不显著不等于不存在任何经济机制，但不能被改写为支持性证据。</w:t>
            </w:r>
          </w:p>
        </w:tc>
      </w:tr>
    </w:tbl>
    <w:p>
      <w:pPr>
        <w:spacing w:after="40"/>
      </w:pPr>
    </w:p>
    <w:p>
      <w:pPr>
        <w:pStyle w:val="Heading1"/>
      </w:pPr>
      <w:r>
        <w:t>1. 执行摘要</w:t>
      </w:r>
    </w:p>
    <w:p>
      <w:pPr>
        <w:spacing w:before="0" w:after="160" w:line="320" w:lineRule="auto"/>
        <w:jc w:val="both"/>
      </w:pPr>
      <w:r>
        <w:rPr>
          <w:rFonts w:ascii="Calibri" w:hAnsi="Calibri" w:eastAsia="Microsoft YaHei"/>
          <w:b w:val="0"/>
          <w:i w:val="0"/>
          <w:color w:val="1F2933"/>
          <w:sz w:val="22"/>
        </w:rPr>
        <w:t>本研究以韩国上市公司为对象，将企业数字化战略从简单词频重新定义为年报中可识别的实质性数字行动。冻结面板包括2,402家公司、22,654个公司年度，覆盖2015-2025财年。核心解释变量为实质性数字行动句占年报去重总句数的比例，并进一步区分商业模式重构、运营数字化、纯信号与口号式披露。</w:t>
      </w:r>
    </w:p>
    <w:p>
      <w:pPr>
        <w:spacing w:before="0" w:after="160" w:line="320" w:lineRule="auto"/>
        <w:jc w:val="both"/>
      </w:pPr>
      <w:r>
        <w:rPr>
          <w:rFonts w:ascii="Calibri" w:hAnsi="Calibri" w:eastAsia="Microsoft YaHei"/>
          <w:b w:val="0"/>
          <w:i w:val="0"/>
          <w:color w:val="1F2933"/>
          <w:sz w:val="22"/>
        </w:rPr>
        <w:t>内部路径以次年销售增长、次年ROA和次年营业利润率衡量，采用公司和年份固定效应并按公司聚类。三项确认性结果均不显著，且替代变量、零值处理、公司趋势、一阶差分、扩展控制和文本时间边界限制没有形成一致的正向或非线性证据。</w:t>
      </w:r>
    </w:p>
    <w:p>
      <w:pPr>
        <w:spacing w:before="0" w:after="160" w:line="320" w:lineRule="auto"/>
        <w:jc w:val="both"/>
      </w:pPr>
      <w:r>
        <w:rPr>
          <w:rFonts w:ascii="Calibri" w:hAnsi="Calibri" w:eastAsia="Microsoft YaHei"/>
          <w:b w:val="0"/>
          <w:i w:val="0"/>
          <w:color w:val="1F2933"/>
          <w:sz w:val="22"/>
        </w:rPr>
        <w:t>外部路径以严格对齐披露交易日的CAR[0,+2]衡量。首选的公司固定效应、事件日固定效应及公司/事件日双向聚类模型得到系数-0.002692（标准误0.001449，p=0.063，FDR=0.129）。点估计对应数字化战略提高1个标准差时三日CAR低约0.269个百分点，但它只是一种边缘性的负向关联。滞后控制结果不显著，未来数字化水平安慰剂显著，故不能解释为已识别的资本市场惩罚。</w:t>
      </w:r>
    </w:p>
    <w:tbl>
      <w:tblPr>
        <w:tblW w:type="dxa" w:w="9360"/>
        <w:jc w:val="left"/>
        <w:tblLayout w:type="fixed"/>
        <w:tblLook w:firstColumn="1" w:firstRow="1" w:lastColumn="0" w:lastRow="0" w:noHBand="0" w:noVBand="1" w:val="04A0"/>
        <w:tblInd w:w="120" w:type="dxa"/>
        <w:tblBorders>
          <w:top w:val="single" w:sz="6" w:space="0" w:color="C6D4E0"/>
          <w:left w:val="single" w:sz="6" w:space="0" w:color="C6D4E0"/>
          <w:bottom w:val="single" w:sz="6" w:space="0" w:color="C6D4E0"/>
          <w:right w:val="single" w:sz="6" w:space="0" w:color="C6D4E0"/>
          <w:insideH w:val="single" w:sz="6" w:space="0" w:color="C6D4E0"/>
          <w:insideV w:val="single" w:sz="6" w:space="0" w:color="C6D4E0"/>
        </w:tblBorders>
      </w:tblPr>
      <w:tblGrid>
        <w:gridCol w:w="9360"/>
      </w:tblGrid>
      <w:tr>
        <w:trPr>
          <w:cantSplit/>
        </w:trPr>
        <w:tc>
          <w:tcPr>
            <w:tcW w:type="dxa" w:w="9360"/>
            <w:vAlign w:val="center"/>
            <w:tcMar>
              <w:top w:w="80" w:type="dxa"/>
              <w:start w:w="120" w:type="dxa"/>
              <w:bottom w:w="80" w:type="dxa"/>
              <w:end w:w="120" w:type="dxa"/>
            </w:tcMar>
            <w:shd w:fill="FFF4DE"/>
          </w:tcPr>
          <w:p>
            <w:pPr>
              <w:spacing w:after="0" w:line="288" w:lineRule="auto"/>
            </w:pPr>
            <w:r>
              <w:rPr>
                <w:rFonts w:ascii="Calibri" w:hAnsi="Calibri" w:eastAsia="Microsoft YaHei"/>
                <w:b/>
                <w:color w:val="1F4D78"/>
                <w:sz w:val="22"/>
              </w:rPr>
              <w:t xml:space="preserve">正式结论 </w:t>
            </w:r>
            <w:r>
              <w:rPr>
                <w:rFonts w:ascii="Calibri" w:hAnsi="Calibri" w:eastAsia="Microsoft YaHei"/>
                <w:color w:val="1F2933"/>
                <w:sz w:val="22"/>
              </w:rPr>
              <w:t>韩国上市公司年报中的实质数字行动披露没有显示可稳健归因的短期经营改善；资本市场对更强披露呈现弱负向定价倾向，但多重检验、模型敏感性和安慰剂结果要求保留判断。论文最有价值的贡献是更严格的文本测量、时间对齐和对‘披露不等于实现’的边界识别。</w:t>
            </w:r>
          </w:p>
        </w:tc>
      </w:tr>
    </w:tbl>
    <w:p>
      <w:pPr>
        <w:spacing w:after="40"/>
      </w:pPr>
    </w:p>
    <w:p>
      <w:pPr>
        <w:pStyle w:val="Heading1"/>
      </w:pPr>
      <w:r>
        <w:t>2. 研究问题与理论主线</w:t>
      </w:r>
    </w:p>
    <w:p>
      <w:pPr>
        <w:spacing w:before="0" w:after="160" w:line="320" w:lineRule="auto"/>
        <w:jc w:val="both"/>
      </w:pPr>
      <w:r>
        <w:rPr>
          <w:rFonts w:ascii="Calibri" w:hAnsi="Calibri" w:eastAsia="Microsoft YaHei"/>
          <w:b w:val="0"/>
          <w:i w:val="0"/>
          <w:color w:val="1F2933"/>
          <w:sz w:val="22"/>
        </w:rPr>
        <w:t>研究主线是同一项数字化战略如何通过两个不同的时间和评价机制发生作用。内部轮指组织能力、流程和商业模式重构，理论上需要互补资产、学习和实施周期才能转化为经营绩效。外部轮指资本市场从年报中观察数字行动并及时调整预期，但投资者同时评估实施成本、兑现概率、信息复杂性和管理层宣传动机。</w:t>
      </w:r>
    </w:p>
    <w:p>
      <w:pPr>
        <w:spacing w:before="0" w:after="160" w:line="320" w:lineRule="auto"/>
        <w:jc w:val="both"/>
      </w:pPr>
      <w:r>
        <w:rPr>
          <w:rFonts w:ascii="Calibri" w:hAnsi="Calibri" w:eastAsia="Microsoft YaHei"/>
          <w:b w:val="0"/>
          <w:i w:val="0"/>
          <w:color w:val="1F2933"/>
          <w:sz w:val="22"/>
        </w:rPr>
        <w:t>由此，内部效应不必与公告日市场反应同号或同时出现。短期经营结果可能因调整成本、项目周期和收益确认滞后而接近零；公告日反应则可能为负，因为更强的数字化披露既传递成长机会，也暴露资本支出、组织变革与执行不确定性。该逻辑允许‘内部短期不显著+外部弱负向’成为理论上连贯而非失败的结果，但仍须尊重统计证据边界。</w:t>
      </w:r>
    </w:p>
    <w:p>
      <w:pPr>
        <w:pStyle w:val="ListBullet"/>
        <w:spacing w:after="80" w:line="290" w:lineRule="auto"/>
      </w:pPr>
      <w:r>
        <w:rPr>
          <w:rFonts w:ascii="Calibri" w:hAnsi="Calibri" w:eastAsia="Microsoft YaHei"/>
          <w:color w:val="1F2933"/>
          <w:sz w:val="22"/>
        </w:rPr>
        <w:t>研究问题1：实质性数字化战略披露是否预测下一期经营绩效？</w:t>
      </w:r>
    </w:p>
    <w:p>
      <w:pPr>
        <w:pStyle w:val="ListBullet"/>
        <w:spacing w:after="80" w:line="290" w:lineRule="auto"/>
      </w:pPr>
      <w:r>
        <w:rPr>
          <w:rFonts w:ascii="Calibri" w:hAnsi="Calibri" w:eastAsia="Microsoft YaHei"/>
          <w:color w:val="1F2933"/>
          <w:sz w:val="22"/>
        </w:rPr>
        <w:t>研究问题2：商业模式重构是否改变或构成内部作用路径？</w:t>
      </w:r>
    </w:p>
    <w:p>
      <w:pPr>
        <w:pStyle w:val="ListBullet"/>
        <w:spacing w:after="80" w:line="290" w:lineRule="auto"/>
      </w:pPr>
      <w:r>
        <w:rPr>
          <w:rFonts w:ascii="Calibri" w:hAnsi="Calibri" w:eastAsia="Microsoft YaHei"/>
          <w:color w:val="1F2933"/>
          <w:sz w:val="22"/>
        </w:rPr>
        <w:t>研究问题3：资本市场是否在年报披露窗口对数字化战略作出定价反应？</w:t>
      </w:r>
    </w:p>
    <w:p>
      <w:pPr>
        <w:pStyle w:val="ListBullet"/>
        <w:spacing w:after="80" w:line="290" w:lineRule="auto"/>
      </w:pPr>
      <w:r>
        <w:rPr>
          <w:rFonts w:ascii="Calibri" w:hAnsi="Calibri" w:eastAsia="Microsoft YaHei"/>
          <w:color w:val="1F2933"/>
          <w:sz w:val="22"/>
        </w:rPr>
        <w:t>研究问题4：关系是否具有非线性、市场异质性或受口号式信号干扰？</w:t>
      </w:r>
    </w:p>
    <w:p>
      <w:pPr>
        <w:pStyle w:val="Heading1"/>
      </w:pPr>
      <w:r>
        <w:t>3. 数据与样本构建</w:t>
      </w:r>
    </w:p>
    <w:p>
      <w:pPr>
        <w:spacing w:before="0" w:after="160" w:line="320" w:lineRule="auto"/>
        <w:jc w:val="both"/>
      </w:pPr>
      <w:r>
        <w:rPr>
          <w:rFonts w:ascii="Calibri" w:hAnsi="Calibri" w:eastAsia="Microsoft YaHei"/>
          <w:b w:val="0"/>
          <w:i w:val="0"/>
          <w:color w:val="1F2933"/>
          <w:sz w:val="22"/>
        </w:rPr>
        <w:t>公司母表来自DART/OpenDART，使用稳定corp_code连接公司名称、股票代码、市场分类和财年。年报文本以韩文DART为主，因为英文年报存在严重选择性与长期缺失。财务报表优先使用合并口径，并按公司和财年连接到文本记录。</w:t>
      </w:r>
    </w:p>
    <w:p>
      <w:pPr>
        <w:spacing w:before="0" w:after="160" w:line="320" w:lineRule="auto"/>
        <w:jc w:val="both"/>
      </w:pPr>
      <w:r>
        <w:rPr>
          <w:rFonts w:ascii="Calibri" w:hAnsi="Calibri" w:eastAsia="Microsoft YaHei"/>
          <w:b w:val="0"/>
          <w:i w:val="0"/>
          <w:color w:val="1F2933"/>
          <w:sz w:val="22"/>
        </w:rPr>
        <w:t>股票结果以报告文本实际可观察的披露日期为准，而不是仅用财年末或原始年报日期。对修订文本，事件日与所使用文本版本一致；非交易日顺延到下一交易日。市场模型估计窗和事件窗均从缓存的个股与KOSPI/KOSDAQ指数日行情构造。</w:t>
      </w:r>
    </w:p>
    <w:p>
      <w:pPr>
        <w:spacing w:before="0" w:after="160" w:line="320" w:lineRule="auto"/>
        <w:jc w:val="both"/>
      </w:pPr>
      <w:r>
        <w:rPr>
          <w:rFonts w:ascii="Calibri" w:hAnsi="Calibri" w:eastAsia="Microsoft YaHei"/>
          <w:b w:val="0"/>
          <w:i w:val="0"/>
          <w:color w:val="1F2933"/>
          <w:sz w:val="22"/>
        </w:rPr>
        <w:t>冻结主面板有22,654个公司年度、2,402家公司，重复公司年度为0。数字化战略为零的公司年度占51.56%，说明零膨胀与公司内高持续性是测量和识别的真实约束。</w:t>
      </w:r>
    </w:p>
    <w:tbl>
      <w:tblPr>
        <w:tblW w:type="dxa" w:w="9360"/>
        <w:jc w:val="left"/>
        <w:tblLayout w:type="fixed"/>
        <w:tblLook w:firstColumn="1" w:firstRow="1" w:lastColumn="0" w:lastRow="0" w:noHBand="0" w:noVBand="1" w:val="04A0"/>
        <w:tblInd w:w="120" w:type="dxa"/>
        <w:tblBorders>
          <w:top w:val="single" w:sz="4" w:space="0" w:color="D6DEE6"/>
          <w:left w:val="single" w:sz="4" w:space="0" w:color="D6DEE6"/>
          <w:bottom w:val="single" w:sz="4" w:space="0" w:color="D6DEE6"/>
          <w:right w:val="single" w:sz="4" w:space="0" w:color="D6DEE6"/>
          <w:insideH w:val="single" w:sz="4" w:space="0" w:color="D6DEE6"/>
          <w:insideV w:val="single" w:sz="4" w:space="0" w:color="D6DEE6"/>
        </w:tblBorders>
      </w:tblPr>
      <w:tblGrid>
        <w:gridCol w:w="1000"/>
        <w:gridCol w:w="1700"/>
        <w:gridCol w:w="1600"/>
        <w:gridCol w:w="2600"/>
        <w:gridCol w:w="2460"/>
      </w:tblGrid>
      <w:tr>
        <w:trPr>
          <w:cantSplit/>
        </w:trPr>
        <w:tc>
          <w:tcPr>
            <w:tcW w:type="dxa" w:w="1000"/>
            <w:shd w:fill="1F4D78"/>
            <w:vAlign w:val="center"/>
            <w:tcMar>
              <w:top w:w="80" w:type="dxa"/>
              <w:start w:w="120" w:type="dxa"/>
              <w:bottom w:w="80" w:type="dxa"/>
              <w:end w:w="120" w:type="dxa"/>
            </w:tcMar>
          </w:tcPr>
          <w:p>
            <w:pPr>
              <w:spacing w:after="0"/>
              <w:jc w:val="center"/>
            </w:pPr>
            <w:r>
              <w:rPr>
                <w:rFonts w:ascii="Calibri" w:hAnsi="Calibri" w:eastAsia="Microsoft YaHei"/>
                <w:b/>
                <w:color w:val="FFFFFF"/>
                <w:sz w:val="17"/>
              </w:rPr>
              <w:t>年份</w:t>
            </w:r>
          </w:p>
        </w:tc>
        <w:tc>
          <w:tcPr>
            <w:tcW w:type="dxa" w:w="1700"/>
            <w:shd w:fill="1F4D78"/>
            <w:vAlign w:val="center"/>
            <w:tcMar>
              <w:top w:w="80" w:type="dxa"/>
              <w:start w:w="120" w:type="dxa"/>
              <w:bottom w:w="80" w:type="dxa"/>
              <w:end w:w="120" w:type="dxa"/>
            </w:tcMar>
          </w:tcPr>
          <w:p>
            <w:pPr>
              <w:spacing w:after="0"/>
              <w:jc w:val="center"/>
            </w:pPr>
            <w:r>
              <w:rPr>
                <w:rFonts w:ascii="Calibri" w:hAnsi="Calibri" w:eastAsia="Microsoft YaHei"/>
                <w:b/>
                <w:color w:val="FFFFFF"/>
                <w:sz w:val="17"/>
              </w:rPr>
              <w:t>公司年度</w:t>
            </w:r>
          </w:p>
        </w:tc>
        <w:tc>
          <w:tcPr>
            <w:tcW w:type="dxa" w:w="1600"/>
            <w:shd w:fill="1F4D78"/>
            <w:vAlign w:val="center"/>
            <w:tcMar>
              <w:top w:w="80" w:type="dxa"/>
              <w:start w:w="120" w:type="dxa"/>
              <w:bottom w:w="80" w:type="dxa"/>
              <w:end w:w="120" w:type="dxa"/>
            </w:tcMar>
          </w:tcPr>
          <w:p>
            <w:pPr>
              <w:spacing w:after="0"/>
              <w:jc w:val="center"/>
            </w:pPr>
            <w:r>
              <w:rPr>
                <w:rFonts w:ascii="Calibri" w:hAnsi="Calibri" w:eastAsia="Microsoft YaHei"/>
                <w:b/>
                <w:color w:val="FFFFFF"/>
                <w:sz w:val="17"/>
              </w:rPr>
              <w:t>公司数</w:t>
            </w:r>
          </w:p>
        </w:tc>
        <w:tc>
          <w:tcPr>
            <w:tcW w:type="dxa" w:w="2600"/>
            <w:shd w:fill="1F4D78"/>
            <w:vAlign w:val="center"/>
            <w:tcMar>
              <w:top w:w="80" w:type="dxa"/>
              <w:start w:w="120" w:type="dxa"/>
              <w:bottom w:w="80" w:type="dxa"/>
              <w:end w:w="120" w:type="dxa"/>
            </w:tcMar>
          </w:tcPr>
          <w:p>
            <w:pPr>
              <w:spacing w:after="0"/>
              <w:jc w:val="center"/>
            </w:pPr>
            <w:r>
              <w:rPr>
                <w:rFonts w:ascii="Calibri" w:hAnsi="Calibri" w:eastAsia="Microsoft YaHei"/>
                <w:b/>
                <w:color w:val="FFFFFF"/>
                <w:sz w:val="17"/>
              </w:rPr>
              <w:t>平均DigitalStrategy</w:t>
            </w:r>
          </w:p>
        </w:tc>
        <w:tc>
          <w:tcPr>
            <w:tcW w:type="dxa" w:w="2460"/>
            <w:shd w:fill="1F4D78"/>
            <w:vAlign w:val="center"/>
            <w:tcMar>
              <w:top w:w="80" w:type="dxa"/>
              <w:start w:w="120" w:type="dxa"/>
              <w:bottom w:w="80" w:type="dxa"/>
              <w:end w:w="120" w:type="dxa"/>
            </w:tcMar>
          </w:tcPr>
          <w:p>
            <w:pPr>
              <w:spacing w:after="0"/>
              <w:jc w:val="center"/>
            </w:pPr>
            <w:r>
              <w:rPr>
                <w:rFonts w:ascii="Calibri" w:hAnsi="Calibri" w:eastAsia="Microsoft YaHei"/>
                <w:b/>
                <w:color w:val="FFFFFF"/>
                <w:sz w:val="17"/>
              </w:rPr>
              <w:t>正值占比</w:t>
            </w:r>
          </w:p>
        </w:tc>
      </w:tr>
      <w:tr>
        <w:trPr>
          <w:cantSplit/>
        </w:trPr>
        <w:tc>
          <w:tcPr>
            <w:tcW w:type="dxa" w:w="1000"/>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2015</w:t>
            </w:r>
          </w:p>
        </w:tc>
        <w:tc>
          <w:tcPr>
            <w:tcW w:type="dxa" w:w="1700"/>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1,734</w:t>
            </w:r>
          </w:p>
        </w:tc>
        <w:tc>
          <w:tcPr>
            <w:tcW w:type="dxa" w:w="1600"/>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1,734</w:t>
            </w:r>
          </w:p>
        </w:tc>
        <w:tc>
          <w:tcPr>
            <w:tcW w:type="dxa" w:w="2600"/>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0.122%</w:t>
            </w:r>
          </w:p>
        </w:tc>
        <w:tc>
          <w:tcPr>
            <w:tcW w:type="dxa" w:w="2460"/>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34.2%</w:t>
            </w:r>
          </w:p>
        </w:tc>
      </w:tr>
      <w:tr>
        <w:trPr>
          <w:cantSplit/>
        </w:trPr>
        <w:tc>
          <w:tcPr>
            <w:tcW w:type="dxa" w:w="1000"/>
            <w:shd w:fill="F4F6F9"/>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2016</w:t>
            </w:r>
          </w:p>
        </w:tc>
        <w:tc>
          <w:tcPr>
            <w:tcW w:type="dxa" w:w="1700"/>
            <w:shd w:fill="F4F6F9"/>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1,799</w:t>
            </w:r>
          </w:p>
        </w:tc>
        <w:tc>
          <w:tcPr>
            <w:tcW w:type="dxa" w:w="1600"/>
            <w:shd w:fill="F4F6F9"/>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1,799</w:t>
            </w:r>
          </w:p>
        </w:tc>
        <w:tc>
          <w:tcPr>
            <w:tcW w:type="dxa" w:w="2600"/>
            <w:shd w:fill="F4F6F9"/>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0.126%</w:t>
            </w:r>
          </w:p>
        </w:tc>
        <w:tc>
          <w:tcPr>
            <w:tcW w:type="dxa" w:w="2460"/>
            <w:shd w:fill="F4F6F9"/>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36.6%</w:t>
            </w:r>
          </w:p>
        </w:tc>
      </w:tr>
      <w:tr>
        <w:trPr>
          <w:cantSplit/>
        </w:trPr>
        <w:tc>
          <w:tcPr>
            <w:tcW w:type="dxa" w:w="1000"/>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2017</w:t>
            </w:r>
          </w:p>
        </w:tc>
        <w:tc>
          <w:tcPr>
            <w:tcW w:type="dxa" w:w="1700"/>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1,885</w:t>
            </w:r>
          </w:p>
        </w:tc>
        <w:tc>
          <w:tcPr>
            <w:tcW w:type="dxa" w:w="1600"/>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1,885</w:t>
            </w:r>
          </w:p>
        </w:tc>
        <w:tc>
          <w:tcPr>
            <w:tcW w:type="dxa" w:w="2600"/>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0.132%</w:t>
            </w:r>
          </w:p>
        </w:tc>
        <w:tc>
          <w:tcPr>
            <w:tcW w:type="dxa" w:w="2460"/>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40.4%</w:t>
            </w:r>
          </w:p>
        </w:tc>
      </w:tr>
      <w:tr>
        <w:trPr>
          <w:cantSplit/>
        </w:trPr>
        <w:tc>
          <w:tcPr>
            <w:tcW w:type="dxa" w:w="1000"/>
            <w:shd w:fill="F4F6F9"/>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2018</w:t>
            </w:r>
          </w:p>
        </w:tc>
        <w:tc>
          <w:tcPr>
            <w:tcW w:type="dxa" w:w="1700"/>
            <w:shd w:fill="F4F6F9"/>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1,956</w:t>
            </w:r>
          </w:p>
        </w:tc>
        <w:tc>
          <w:tcPr>
            <w:tcW w:type="dxa" w:w="1600"/>
            <w:shd w:fill="F4F6F9"/>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1,956</w:t>
            </w:r>
          </w:p>
        </w:tc>
        <w:tc>
          <w:tcPr>
            <w:tcW w:type="dxa" w:w="2600"/>
            <w:shd w:fill="F4F6F9"/>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0.139%</w:t>
            </w:r>
          </w:p>
        </w:tc>
        <w:tc>
          <w:tcPr>
            <w:tcW w:type="dxa" w:w="2460"/>
            <w:shd w:fill="F4F6F9"/>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42.9%</w:t>
            </w:r>
          </w:p>
        </w:tc>
      </w:tr>
      <w:tr>
        <w:trPr>
          <w:cantSplit/>
        </w:trPr>
        <w:tc>
          <w:tcPr>
            <w:tcW w:type="dxa" w:w="1000"/>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2019</w:t>
            </w:r>
          </w:p>
        </w:tc>
        <w:tc>
          <w:tcPr>
            <w:tcW w:type="dxa" w:w="1700"/>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2,023</w:t>
            </w:r>
          </w:p>
        </w:tc>
        <w:tc>
          <w:tcPr>
            <w:tcW w:type="dxa" w:w="1600"/>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2,023</w:t>
            </w:r>
          </w:p>
        </w:tc>
        <w:tc>
          <w:tcPr>
            <w:tcW w:type="dxa" w:w="2600"/>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0.150%</w:t>
            </w:r>
          </w:p>
        </w:tc>
        <w:tc>
          <w:tcPr>
            <w:tcW w:type="dxa" w:w="2460"/>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44.9%</w:t>
            </w:r>
          </w:p>
        </w:tc>
      </w:tr>
      <w:tr>
        <w:trPr>
          <w:cantSplit/>
        </w:trPr>
        <w:tc>
          <w:tcPr>
            <w:tcW w:type="dxa" w:w="1000"/>
            <w:shd w:fill="F4F6F9"/>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2020</w:t>
            </w:r>
          </w:p>
        </w:tc>
        <w:tc>
          <w:tcPr>
            <w:tcW w:type="dxa" w:w="1700"/>
            <w:shd w:fill="F4F6F9"/>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2,104</w:t>
            </w:r>
          </w:p>
        </w:tc>
        <w:tc>
          <w:tcPr>
            <w:tcW w:type="dxa" w:w="1600"/>
            <w:shd w:fill="F4F6F9"/>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2,104</w:t>
            </w:r>
          </w:p>
        </w:tc>
        <w:tc>
          <w:tcPr>
            <w:tcW w:type="dxa" w:w="2600"/>
            <w:shd w:fill="F4F6F9"/>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0.172%</w:t>
            </w:r>
          </w:p>
        </w:tc>
        <w:tc>
          <w:tcPr>
            <w:tcW w:type="dxa" w:w="2460"/>
            <w:shd w:fill="F4F6F9"/>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48.8%</w:t>
            </w:r>
          </w:p>
        </w:tc>
      </w:tr>
      <w:tr>
        <w:trPr>
          <w:cantSplit/>
        </w:trPr>
        <w:tc>
          <w:tcPr>
            <w:tcW w:type="dxa" w:w="1000"/>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2021</w:t>
            </w:r>
          </w:p>
        </w:tc>
        <w:tc>
          <w:tcPr>
            <w:tcW w:type="dxa" w:w="1700"/>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2,158</w:t>
            </w:r>
          </w:p>
        </w:tc>
        <w:tc>
          <w:tcPr>
            <w:tcW w:type="dxa" w:w="1600"/>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2,158</w:t>
            </w:r>
          </w:p>
        </w:tc>
        <w:tc>
          <w:tcPr>
            <w:tcW w:type="dxa" w:w="2600"/>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0.200%</w:t>
            </w:r>
          </w:p>
        </w:tc>
        <w:tc>
          <w:tcPr>
            <w:tcW w:type="dxa" w:w="2460"/>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50.9%</w:t>
            </w:r>
          </w:p>
        </w:tc>
      </w:tr>
      <w:tr>
        <w:trPr>
          <w:cantSplit/>
        </w:trPr>
        <w:tc>
          <w:tcPr>
            <w:tcW w:type="dxa" w:w="1000"/>
            <w:shd w:fill="F4F6F9"/>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2022</w:t>
            </w:r>
          </w:p>
        </w:tc>
        <w:tc>
          <w:tcPr>
            <w:tcW w:type="dxa" w:w="1700"/>
            <w:shd w:fill="F4F6F9"/>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2,206</w:t>
            </w:r>
          </w:p>
        </w:tc>
        <w:tc>
          <w:tcPr>
            <w:tcW w:type="dxa" w:w="1600"/>
            <w:shd w:fill="F4F6F9"/>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2,206</w:t>
            </w:r>
          </w:p>
        </w:tc>
        <w:tc>
          <w:tcPr>
            <w:tcW w:type="dxa" w:w="2600"/>
            <w:shd w:fill="F4F6F9"/>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0.220%</w:t>
            </w:r>
          </w:p>
        </w:tc>
        <w:tc>
          <w:tcPr>
            <w:tcW w:type="dxa" w:w="2460"/>
            <w:shd w:fill="F4F6F9"/>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53.9%</w:t>
            </w:r>
          </w:p>
        </w:tc>
      </w:tr>
      <w:tr>
        <w:trPr>
          <w:cantSplit/>
        </w:trPr>
        <w:tc>
          <w:tcPr>
            <w:tcW w:type="dxa" w:w="1000"/>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2023</w:t>
            </w:r>
          </w:p>
        </w:tc>
        <w:tc>
          <w:tcPr>
            <w:tcW w:type="dxa" w:w="1700"/>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2,281</w:t>
            </w:r>
          </w:p>
        </w:tc>
        <w:tc>
          <w:tcPr>
            <w:tcW w:type="dxa" w:w="1600"/>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2,281</w:t>
            </w:r>
          </w:p>
        </w:tc>
        <w:tc>
          <w:tcPr>
            <w:tcW w:type="dxa" w:w="2600"/>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0.234%</w:t>
            </w:r>
          </w:p>
        </w:tc>
        <w:tc>
          <w:tcPr>
            <w:tcW w:type="dxa" w:w="2460"/>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56.5%</w:t>
            </w:r>
          </w:p>
        </w:tc>
      </w:tr>
      <w:tr>
        <w:trPr>
          <w:cantSplit/>
        </w:trPr>
        <w:tc>
          <w:tcPr>
            <w:tcW w:type="dxa" w:w="1000"/>
            <w:shd w:fill="F4F6F9"/>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2024</w:t>
            </w:r>
          </w:p>
        </w:tc>
        <w:tc>
          <w:tcPr>
            <w:tcW w:type="dxa" w:w="1700"/>
            <w:shd w:fill="F4F6F9"/>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2,263</w:t>
            </w:r>
          </w:p>
        </w:tc>
        <w:tc>
          <w:tcPr>
            <w:tcW w:type="dxa" w:w="1600"/>
            <w:shd w:fill="F4F6F9"/>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2,263</w:t>
            </w:r>
          </w:p>
        </w:tc>
        <w:tc>
          <w:tcPr>
            <w:tcW w:type="dxa" w:w="2600"/>
            <w:shd w:fill="F4F6F9"/>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0.239%</w:t>
            </w:r>
          </w:p>
        </w:tc>
        <w:tc>
          <w:tcPr>
            <w:tcW w:type="dxa" w:w="2460"/>
            <w:shd w:fill="F4F6F9"/>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56.8%</w:t>
            </w:r>
          </w:p>
        </w:tc>
      </w:tr>
      <w:tr>
        <w:trPr>
          <w:cantSplit/>
        </w:trPr>
        <w:tc>
          <w:tcPr>
            <w:tcW w:type="dxa" w:w="1000"/>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2025</w:t>
            </w:r>
          </w:p>
        </w:tc>
        <w:tc>
          <w:tcPr>
            <w:tcW w:type="dxa" w:w="1700"/>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2,245</w:t>
            </w:r>
          </w:p>
        </w:tc>
        <w:tc>
          <w:tcPr>
            <w:tcW w:type="dxa" w:w="1600"/>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2,245</w:t>
            </w:r>
          </w:p>
        </w:tc>
        <w:tc>
          <w:tcPr>
            <w:tcW w:type="dxa" w:w="2600"/>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0.251%</w:t>
            </w:r>
          </w:p>
        </w:tc>
        <w:tc>
          <w:tcPr>
            <w:tcW w:type="dxa" w:w="2460"/>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59.1%</w:t>
            </w:r>
          </w:p>
        </w:tc>
      </w:tr>
    </w:tbl>
    <w:p>
      <w:pPr>
        <w:spacing w:after="20"/>
      </w:pPr>
    </w:p>
    <w:p>
      <w:pPr>
        <w:jc w:val="center"/>
      </w:pPr>
      <w:r>
        <w:drawing>
          <wp:inline xmlns:a="http://schemas.openxmlformats.org/drawingml/2006/main" xmlns:pic="http://schemas.openxmlformats.org/drawingml/2006/picture">
            <wp:extent cx="5760720" cy="3131428"/>
            <wp:docPr id="1" name="Picture 1"/>
            <wp:cNvGraphicFramePr>
              <a:graphicFrameLocks noChangeAspect="1"/>
            </wp:cNvGraphicFramePr>
            <a:graphic>
              <a:graphicData uri="http://schemas.openxmlformats.org/drawingml/2006/picture">
                <pic:pic>
                  <pic:nvPicPr>
                    <pic:cNvPr id="0" name="01_数字化战略年度趋势.png"/>
                    <pic:cNvPicPr/>
                  </pic:nvPicPr>
                  <pic:blipFill>
                    <a:blip r:embed="rId11"/>
                    <a:stretch>
                      <a:fillRect/>
                    </a:stretch>
                  </pic:blipFill>
                  <pic:spPr>
                    <a:xfrm>
                      <a:off x="0" y="0"/>
                      <a:ext cx="5760720" cy="3131428"/>
                    </a:xfrm>
                    <a:prstGeom prst="rect"/>
                  </pic:spPr>
                </pic:pic>
              </a:graphicData>
            </a:graphic>
          </wp:inline>
        </w:drawing>
      </w:r>
    </w:p>
    <w:p>
      <w:pPr>
        <w:jc w:val="center"/>
      </w:pPr>
      <w:r>
        <w:rPr>
          <w:rFonts w:ascii="Calibri" w:hAnsi="Calibri" w:eastAsia="Microsoft YaHei"/>
          <w:i/>
          <w:color w:val="5C6773"/>
          <w:sz w:val="18"/>
        </w:rPr>
        <w:t>图1 数字化战略年度趋势</w:t>
      </w:r>
    </w:p>
    <w:p>
      <w:pPr>
        <w:pStyle w:val="Heading1"/>
      </w:pPr>
      <w:r>
        <w:t>4. 句子级数字化战略测量</w:t>
      </w:r>
    </w:p>
    <w:p>
      <w:pPr>
        <w:spacing w:before="0" w:after="160" w:line="320" w:lineRule="auto"/>
        <w:jc w:val="both"/>
      </w:pPr>
      <w:r>
        <w:rPr>
          <w:rFonts w:ascii="Calibri" w:hAnsi="Calibri" w:eastAsia="Microsoft YaHei"/>
          <w:b w:val="0"/>
          <w:i w:val="0"/>
          <w:color w:val="1F2933"/>
          <w:sz w:val="22"/>
        </w:rPr>
        <w:t>测量流程先进行年报正文提取、表格与导航噪声处理、句子切分和去重，再识别数字技术实体与行动谓词。只有同时包含数字技术或数字业务对象，并表达投资、建设、上线、整合、优化、推出、转型渠道或收入模式等可观察行动的句子，才进入实质性数字战略分子。仅表达重要性、趋势、愿景或对数字时代的泛化回应，归为口号式披露或低权重候选。</w:t>
      </w:r>
    </w:p>
    <w:p>
      <w:pPr>
        <w:spacing w:before="0" w:after="160" w:line="320" w:lineRule="auto"/>
        <w:jc w:val="both"/>
      </w:pPr>
      <w:r>
        <w:rPr>
          <w:rFonts w:ascii="Calibri" w:hAnsi="Calibri" w:eastAsia="Microsoft YaHei"/>
          <w:b w:val="0"/>
          <w:i w:val="0"/>
          <w:color w:val="1F2933"/>
          <w:sz w:val="22"/>
        </w:rPr>
        <w:t>理论依据是战略必须包含资源承诺、组织选择或商业活动改变，而非仅出现技术名词。句子级联合条件降低了digital、AI、data、platform随时间普遍化造成的测量误差，也允许把商业模式重构与运营技术部署分开。</w:t>
      </w:r>
    </w:p>
    <w:tbl>
      <w:tblPr>
        <w:tblW w:type="dxa" w:w="9360"/>
        <w:jc w:val="left"/>
        <w:tblLayout w:type="fixed"/>
        <w:tblLook w:firstColumn="1" w:firstRow="1" w:lastColumn="0" w:lastRow="0" w:noHBand="0" w:noVBand="1" w:val="04A0"/>
        <w:tblInd w:w="120" w:type="dxa"/>
        <w:tblBorders>
          <w:top w:val="single" w:sz="4" w:space="0" w:color="D6DEE6"/>
          <w:left w:val="single" w:sz="4" w:space="0" w:color="D6DEE6"/>
          <w:bottom w:val="single" w:sz="4" w:space="0" w:color="D6DEE6"/>
          <w:right w:val="single" w:sz="4" w:space="0" w:color="D6DEE6"/>
          <w:insideH w:val="single" w:sz="4" w:space="0" w:color="D6DEE6"/>
          <w:insideV w:val="single" w:sz="4" w:space="0" w:color="D6DEE6"/>
        </w:tblBorders>
      </w:tblPr>
      <w:tblGrid>
        <w:gridCol w:w="2300"/>
        <w:gridCol w:w="4660"/>
        <w:gridCol w:w="2400"/>
      </w:tblGrid>
      <w:tr>
        <w:trPr>
          <w:cantSplit/>
        </w:trPr>
        <w:tc>
          <w:tcPr>
            <w:tcW w:type="dxa" w:w="2300"/>
            <w:shd w:fill="1F4D78"/>
            <w:vAlign w:val="center"/>
            <w:tcMar>
              <w:top w:w="80" w:type="dxa"/>
              <w:start w:w="120" w:type="dxa"/>
              <w:bottom w:w="80" w:type="dxa"/>
              <w:end w:w="120" w:type="dxa"/>
            </w:tcMar>
          </w:tcPr>
          <w:p>
            <w:pPr>
              <w:spacing w:after="0"/>
              <w:jc w:val="center"/>
            </w:pPr>
            <w:r>
              <w:rPr>
                <w:rFonts w:ascii="Calibri" w:hAnsi="Calibri" w:eastAsia="Microsoft YaHei"/>
                <w:b/>
                <w:color w:val="FFFFFF"/>
                <w:sz w:val="18"/>
              </w:rPr>
              <w:t>变量</w:t>
            </w:r>
          </w:p>
        </w:tc>
        <w:tc>
          <w:tcPr>
            <w:tcW w:type="dxa" w:w="4660"/>
            <w:shd w:fill="1F4D78"/>
            <w:vAlign w:val="center"/>
            <w:tcMar>
              <w:top w:w="80" w:type="dxa"/>
              <w:start w:w="120" w:type="dxa"/>
              <w:bottom w:w="80" w:type="dxa"/>
              <w:end w:w="120" w:type="dxa"/>
            </w:tcMar>
          </w:tcPr>
          <w:p>
            <w:pPr>
              <w:spacing w:after="0"/>
              <w:jc w:val="center"/>
            </w:pPr>
            <w:r>
              <w:rPr>
                <w:rFonts w:ascii="Calibri" w:hAnsi="Calibri" w:eastAsia="Microsoft YaHei"/>
                <w:b/>
                <w:color w:val="FFFFFF"/>
                <w:sz w:val="18"/>
              </w:rPr>
              <w:t>定义</w:t>
            </w:r>
          </w:p>
        </w:tc>
        <w:tc>
          <w:tcPr>
            <w:tcW w:type="dxa" w:w="2400"/>
            <w:shd w:fill="1F4D78"/>
            <w:vAlign w:val="center"/>
            <w:tcMar>
              <w:top w:w="80" w:type="dxa"/>
              <w:start w:w="120" w:type="dxa"/>
              <w:bottom w:w="80" w:type="dxa"/>
              <w:end w:w="120" w:type="dxa"/>
            </w:tcMar>
          </w:tcPr>
          <w:p>
            <w:pPr>
              <w:spacing w:after="0"/>
              <w:jc w:val="center"/>
            </w:pPr>
            <w:r>
              <w:rPr>
                <w:rFonts w:ascii="Calibri" w:hAnsi="Calibri" w:eastAsia="Microsoft YaHei"/>
                <w:b/>
                <w:color w:val="FFFFFF"/>
                <w:sz w:val="18"/>
              </w:rPr>
              <w:t>用途</w:t>
            </w:r>
          </w:p>
        </w:tc>
      </w:tr>
      <w:tr>
        <w:trPr>
          <w:cantSplit/>
        </w:trPr>
        <w:tc>
          <w:tcPr>
            <w:tcW w:type="dxa" w:w="2300"/>
            <w:vAlign w:val="center"/>
            <w:tcMar>
              <w:top w:w="80" w:type="dxa"/>
              <w:start w:w="120" w:type="dxa"/>
              <w:bottom w:w="80" w:type="dxa"/>
              <w:end w:w="120" w:type="dxa"/>
            </w:tcMar>
          </w:tcPr>
          <w:p>
            <w:pPr>
              <w:spacing w:after="0" w:line="252" w:lineRule="auto"/>
            </w:pPr>
            <w:r>
              <w:rPr>
                <w:rFonts w:ascii="Calibri" w:hAnsi="Calibri" w:eastAsia="Microsoft YaHei"/>
                <w:color w:val="1F2933"/>
                <w:sz w:val="18"/>
              </w:rPr>
              <w:t>DigitalStrategy</w:t>
            </w:r>
          </w:p>
        </w:tc>
        <w:tc>
          <w:tcPr>
            <w:tcW w:type="dxa" w:w="4660"/>
            <w:vAlign w:val="center"/>
            <w:tcMar>
              <w:top w:w="80" w:type="dxa"/>
              <w:start w:w="120" w:type="dxa"/>
              <w:bottom w:w="80" w:type="dxa"/>
              <w:end w:w="120" w:type="dxa"/>
            </w:tcMar>
          </w:tcPr>
          <w:p>
            <w:pPr>
              <w:spacing w:after="0" w:line="252" w:lineRule="auto"/>
            </w:pPr>
            <w:r>
              <w:rPr>
                <w:rFonts w:ascii="Calibri" w:hAnsi="Calibri" w:eastAsia="Microsoft YaHei"/>
                <w:color w:val="1F2933"/>
                <w:sz w:val="18"/>
              </w:rPr>
              <w:t>实质数字行动句 / 年报总句数</w:t>
            </w:r>
          </w:p>
        </w:tc>
        <w:tc>
          <w:tcPr>
            <w:tcW w:type="dxa" w:w="2400"/>
            <w:vAlign w:val="center"/>
            <w:tcMar>
              <w:top w:w="80" w:type="dxa"/>
              <w:start w:w="120" w:type="dxa"/>
              <w:bottom w:w="80" w:type="dxa"/>
              <w:end w:w="120" w:type="dxa"/>
            </w:tcMar>
          </w:tcPr>
          <w:p>
            <w:pPr>
              <w:spacing w:after="0" w:line="252" w:lineRule="auto"/>
            </w:pPr>
            <w:r>
              <w:rPr>
                <w:rFonts w:ascii="Calibri" w:hAnsi="Calibri" w:eastAsia="Microsoft YaHei"/>
                <w:color w:val="1F2933"/>
                <w:sz w:val="18"/>
              </w:rPr>
              <w:t>主变量</w:t>
            </w:r>
          </w:p>
        </w:tc>
      </w:tr>
      <w:tr>
        <w:trPr>
          <w:cantSplit/>
        </w:trPr>
        <w:tc>
          <w:tcPr>
            <w:tcW w:type="dxa" w:w="2300"/>
            <w:shd w:fill="F4F6F9"/>
            <w:vAlign w:val="center"/>
            <w:tcMar>
              <w:top w:w="80" w:type="dxa"/>
              <w:start w:w="120" w:type="dxa"/>
              <w:bottom w:w="80" w:type="dxa"/>
              <w:end w:w="120" w:type="dxa"/>
            </w:tcMar>
          </w:tcPr>
          <w:p>
            <w:pPr>
              <w:spacing w:after="0" w:line="252" w:lineRule="auto"/>
            </w:pPr>
            <w:r>
              <w:rPr>
                <w:rFonts w:ascii="Calibri" w:hAnsi="Calibri" w:eastAsia="Microsoft YaHei"/>
                <w:color w:val="1F2933"/>
                <w:sz w:val="18"/>
              </w:rPr>
              <w:t>BMI_Reconstruction</w:t>
            </w:r>
          </w:p>
        </w:tc>
        <w:tc>
          <w:tcPr>
            <w:tcW w:type="dxa" w:w="4660"/>
            <w:shd w:fill="F4F6F9"/>
            <w:vAlign w:val="center"/>
            <w:tcMar>
              <w:top w:w="80" w:type="dxa"/>
              <w:start w:w="120" w:type="dxa"/>
              <w:bottom w:w="80" w:type="dxa"/>
              <w:end w:w="120" w:type="dxa"/>
            </w:tcMar>
          </w:tcPr>
          <w:p>
            <w:pPr>
              <w:spacing w:after="0" w:line="252" w:lineRule="auto"/>
            </w:pPr>
            <w:r>
              <w:rPr>
                <w:rFonts w:ascii="Calibri" w:hAnsi="Calibri" w:eastAsia="Microsoft YaHei"/>
                <w:color w:val="1F2933"/>
                <w:sz w:val="18"/>
              </w:rPr>
              <w:t>数字商业模式重构句 / 总句数</w:t>
            </w:r>
          </w:p>
        </w:tc>
        <w:tc>
          <w:tcPr>
            <w:tcW w:type="dxa" w:w="2400"/>
            <w:shd w:fill="F4F6F9"/>
            <w:vAlign w:val="center"/>
            <w:tcMar>
              <w:top w:w="80" w:type="dxa"/>
              <w:start w:w="120" w:type="dxa"/>
              <w:bottom w:w="80" w:type="dxa"/>
              <w:end w:w="120" w:type="dxa"/>
            </w:tcMar>
          </w:tcPr>
          <w:p>
            <w:pPr>
              <w:spacing w:after="0" w:line="252" w:lineRule="auto"/>
            </w:pPr>
            <w:r>
              <w:rPr>
                <w:rFonts w:ascii="Calibri" w:hAnsi="Calibri" w:eastAsia="Microsoft YaHei"/>
                <w:color w:val="1F2933"/>
                <w:sz w:val="18"/>
              </w:rPr>
              <w:t>内部路径</w:t>
            </w:r>
          </w:p>
        </w:tc>
      </w:tr>
      <w:tr>
        <w:trPr>
          <w:cantSplit/>
        </w:trPr>
        <w:tc>
          <w:tcPr>
            <w:tcW w:type="dxa" w:w="2300"/>
            <w:vAlign w:val="center"/>
            <w:tcMar>
              <w:top w:w="80" w:type="dxa"/>
              <w:start w:w="120" w:type="dxa"/>
              <w:bottom w:w="80" w:type="dxa"/>
              <w:end w:w="120" w:type="dxa"/>
            </w:tcMar>
          </w:tcPr>
          <w:p>
            <w:pPr>
              <w:spacing w:after="0" w:line="252" w:lineRule="auto"/>
            </w:pPr>
            <w:r>
              <w:rPr>
                <w:rFonts w:ascii="Calibri" w:hAnsi="Calibri" w:eastAsia="Microsoft YaHei"/>
                <w:color w:val="1F2933"/>
                <w:sz w:val="18"/>
              </w:rPr>
              <w:t>OperationalDigital</w:t>
            </w:r>
          </w:p>
        </w:tc>
        <w:tc>
          <w:tcPr>
            <w:tcW w:type="dxa" w:w="4660"/>
            <w:vAlign w:val="center"/>
            <w:tcMar>
              <w:top w:w="80" w:type="dxa"/>
              <w:start w:w="120" w:type="dxa"/>
              <w:bottom w:w="80" w:type="dxa"/>
              <w:end w:w="120" w:type="dxa"/>
            </w:tcMar>
          </w:tcPr>
          <w:p>
            <w:pPr>
              <w:spacing w:after="0" w:line="252" w:lineRule="auto"/>
            </w:pPr>
            <w:r>
              <w:rPr>
                <w:rFonts w:ascii="Calibri" w:hAnsi="Calibri" w:eastAsia="Microsoft YaHei"/>
                <w:color w:val="1F2933"/>
                <w:sz w:val="18"/>
              </w:rPr>
              <w:t>max(实质行动句-BMI句,0) / 总句数</w:t>
            </w:r>
          </w:p>
        </w:tc>
        <w:tc>
          <w:tcPr>
            <w:tcW w:type="dxa" w:w="2400"/>
            <w:vAlign w:val="center"/>
            <w:tcMar>
              <w:top w:w="80" w:type="dxa"/>
              <w:start w:w="120" w:type="dxa"/>
              <w:bottom w:w="80" w:type="dxa"/>
              <w:end w:w="120" w:type="dxa"/>
            </w:tcMar>
          </w:tcPr>
          <w:p>
            <w:pPr>
              <w:spacing w:after="0" w:line="252" w:lineRule="auto"/>
            </w:pPr>
            <w:r>
              <w:rPr>
                <w:rFonts w:ascii="Calibri" w:hAnsi="Calibri" w:eastAsia="Microsoft YaHei"/>
                <w:color w:val="1F2933"/>
                <w:sz w:val="18"/>
              </w:rPr>
              <w:t>运营成分</w:t>
            </w:r>
          </w:p>
        </w:tc>
      </w:tr>
      <w:tr>
        <w:trPr>
          <w:cantSplit/>
        </w:trPr>
        <w:tc>
          <w:tcPr>
            <w:tcW w:type="dxa" w:w="2300"/>
            <w:shd w:fill="F4F6F9"/>
            <w:vAlign w:val="center"/>
            <w:tcMar>
              <w:top w:w="80" w:type="dxa"/>
              <w:start w:w="120" w:type="dxa"/>
              <w:bottom w:w="80" w:type="dxa"/>
              <w:end w:w="120" w:type="dxa"/>
            </w:tcMar>
          </w:tcPr>
          <w:p>
            <w:pPr>
              <w:spacing w:after="0" w:line="252" w:lineRule="auto"/>
            </w:pPr>
            <w:r>
              <w:rPr>
                <w:rFonts w:ascii="Calibri" w:hAnsi="Calibri" w:eastAsia="Microsoft YaHei"/>
                <w:color w:val="1F2933"/>
                <w:sz w:val="18"/>
              </w:rPr>
              <w:t>PureSignal</w:t>
            </w:r>
          </w:p>
        </w:tc>
        <w:tc>
          <w:tcPr>
            <w:tcW w:type="dxa" w:w="4660"/>
            <w:shd w:fill="F4F6F9"/>
            <w:vAlign w:val="center"/>
            <w:tcMar>
              <w:top w:w="80" w:type="dxa"/>
              <w:start w:w="120" w:type="dxa"/>
              <w:bottom w:w="80" w:type="dxa"/>
              <w:end w:w="120" w:type="dxa"/>
            </w:tcMar>
          </w:tcPr>
          <w:p>
            <w:pPr>
              <w:spacing w:after="0" w:line="252" w:lineRule="auto"/>
            </w:pPr>
            <w:r>
              <w:rPr>
                <w:rFonts w:ascii="Calibri" w:hAnsi="Calibri" w:eastAsia="Microsoft YaHei"/>
                <w:color w:val="1F2933"/>
                <w:sz w:val="18"/>
              </w:rPr>
              <w:t>max(市场可见数字句-实质行动句,0) / 总句数</w:t>
            </w:r>
          </w:p>
        </w:tc>
        <w:tc>
          <w:tcPr>
            <w:tcW w:type="dxa" w:w="2400"/>
            <w:shd w:fill="F4F6F9"/>
            <w:vAlign w:val="center"/>
            <w:tcMar>
              <w:top w:w="80" w:type="dxa"/>
              <w:start w:w="120" w:type="dxa"/>
              <w:bottom w:w="80" w:type="dxa"/>
              <w:end w:w="120" w:type="dxa"/>
            </w:tcMar>
          </w:tcPr>
          <w:p>
            <w:pPr>
              <w:spacing w:after="0" w:line="252" w:lineRule="auto"/>
            </w:pPr>
            <w:r>
              <w:rPr>
                <w:rFonts w:ascii="Calibri" w:hAnsi="Calibri" w:eastAsia="Microsoft YaHei"/>
                <w:color w:val="1F2933"/>
                <w:sz w:val="18"/>
              </w:rPr>
              <w:t>净信号成分</w:t>
            </w:r>
          </w:p>
        </w:tc>
      </w:tr>
      <w:tr>
        <w:trPr>
          <w:cantSplit/>
        </w:trPr>
        <w:tc>
          <w:tcPr>
            <w:tcW w:type="dxa" w:w="2300"/>
            <w:vAlign w:val="center"/>
            <w:tcMar>
              <w:top w:w="80" w:type="dxa"/>
              <w:start w:w="120" w:type="dxa"/>
              <w:bottom w:w="80" w:type="dxa"/>
              <w:end w:w="120" w:type="dxa"/>
            </w:tcMar>
          </w:tcPr>
          <w:p>
            <w:pPr>
              <w:spacing w:after="0" w:line="252" w:lineRule="auto"/>
            </w:pPr>
            <w:r>
              <w:rPr>
                <w:rFonts w:ascii="Calibri" w:hAnsi="Calibri" w:eastAsia="Microsoft YaHei"/>
                <w:color w:val="1F2933"/>
                <w:sz w:val="18"/>
              </w:rPr>
              <w:t>RelativeDigitalSignal</w:t>
            </w:r>
          </w:p>
        </w:tc>
        <w:tc>
          <w:tcPr>
            <w:tcW w:type="dxa" w:w="4660"/>
            <w:vAlign w:val="center"/>
            <w:tcMar>
              <w:top w:w="80" w:type="dxa"/>
              <w:start w:w="120" w:type="dxa"/>
              <w:bottom w:w="80" w:type="dxa"/>
              <w:end w:w="120" w:type="dxa"/>
            </w:tcMar>
          </w:tcPr>
          <w:p>
            <w:pPr>
              <w:spacing w:after="0" w:line="252" w:lineRule="auto"/>
            </w:pPr>
            <w:r>
              <w:rPr>
                <w:rFonts w:ascii="Calibri" w:hAnsi="Calibri" w:eastAsia="Microsoft YaHei"/>
                <w:color w:val="1F2933"/>
                <w:sz w:val="18"/>
              </w:rPr>
              <w:t>DigitalStrategy-行业×年份均值</w:t>
            </w:r>
          </w:p>
        </w:tc>
        <w:tc>
          <w:tcPr>
            <w:tcW w:type="dxa" w:w="2400"/>
            <w:vAlign w:val="center"/>
            <w:tcMar>
              <w:top w:w="80" w:type="dxa"/>
              <w:start w:w="120" w:type="dxa"/>
              <w:bottom w:w="80" w:type="dxa"/>
              <w:end w:w="120" w:type="dxa"/>
            </w:tcMar>
          </w:tcPr>
          <w:p>
            <w:pPr>
              <w:spacing w:after="0" w:line="252" w:lineRule="auto"/>
            </w:pPr>
            <w:r>
              <w:rPr>
                <w:rFonts w:ascii="Calibri" w:hAnsi="Calibri" w:eastAsia="Microsoft YaHei"/>
                <w:color w:val="1F2933"/>
                <w:sz w:val="18"/>
              </w:rPr>
              <w:t>共同趋势调整</w:t>
            </w:r>
          </w:p>
        </w:tc>
      </w:tr>
      <w:tr>
        <w:trPr>
          <w:cantSplit/>
        </w:trPr>
        <w:tc>
          <w:tcPr>
            <w:tcW w:type="dxa" w:w="2300"/>
            <w:shd w:fill="F4F6F9"/>
            <w:vAlign w:val="center"/>
            <w:tcMar>
              <w:top w:w="80" w:type="dxa"/>
              <w:start w:w="120" w:type="dxa"/>
              <w:bottom w:w="80" w:type="dxa"/>
              <w:end w:w="120" w:type="dxa"/>
            </w:tcMar>
          </w:tcPr>
          <w:p>
            <w:pPr>
              <w:spacing w:after="0" w:line="252" w:lineRule="auto"/>
            </w:pPr>
            <w:r>
              <w:rPr>
                <w:rFonts w:ascii="Calibri" w:hAnsi="Calibri" w:eastAsia="Microsoft YaHei"/>
                <w:color w:val="1F2933"/>
                <w:sz w:val="18"/>
              </w:rPr>
              <w:t>Boilerplate</w:t>
            </w:r>
          </w:p>
        </w:tc>
        <w:tc>
          <w:tcPr>
            <w:tcW w:type="dxa" w:w="4660"/>
            <w:shd w:fill="F4F6F9"/>
            <w:vAlign w:val="center"/>
            <w:tcMar>
              <w:top w:w="80" w:type="dxa"/>
              <w:start w:w="120" w:type="dxa"/>
              <w:bottom w:w="80" w:type="dxa"/>
              <w:end w:w="120" w:type="dxa"/>
            </w:tcMar>
          </w:tcPr>
          <w:p>
            <w:pPr>
              <w:spacing w:after="0" w:line="252" w:lineRule="auto"/>
            </w:pPr>
            <w:r>
              <w:rPr>
                <w:rFonts w:ascii="Calibri" w:hAnsi="Calibri" w:eastAsia="Microsoft YaHei"/>
                <w:color w:val="1F2933"/>
                <w:sz w:val="18"/>
              </w:rPr>
              <w:t>口号式数字句 / 总句数</w:t>
            </w:r>
          </w:p>
        </w:tc>
        <w:tc>
          <w:tcPr>
            <w:tcW w:type="dxa" w:w="2400"/>
            <w:shd w:fill="F4F6F9"/>
            <w:vAlign w:val="center"/>
            <w:tcMar>
              <w:top w:w="80" w:type="dxa"/>
              <w:start w:w="120" w:type="dxa"/>
              <w:bottom w:w="80" w:type="dxa"/>
              <w:end w:w="120" w:type="dxa"/>
            </w:tcMar>
          </w:tcPr>
          <w:p>
            <w:pPr>
              <w:spacing w:after="0" w:line="252" w:lineRule="auto"/>
            </w:pPr>
            <w:r>
              <w:rPr>
                <w:rFonts w:ascii="Calibri" w:hAnsi="Calibri" w:eastAsia="Microsoft YaHei"/>
                <w:color w:val="1F2933"/>
                <w:sz w:val="18"/>
              </w:rPr>
              <w:t>效度诊断</w:t>
            </w:r>
          </w:p>
        </w:tc>
      </w:tr>
    </w:tbl>
    <w:p>
      <w:pPr>
        <w:spacing w:after="20"/>
      </w:pPr>
    </w:p>
    <w:tbl>
      <w:tblPr>
        <w:tblW w:type="dxa" w:w="9360"/>
        <w:jc w:val="left"/>
        <w:tblLayout w:type="fixed"/>
        <w:tblLook w:firstColumn="1" w:firstRow="1" w:lastColumn="0" w:lastRow="0" w:noHBand="0" w:noVBand="1" w:val="04A0"/>
        <w:tblInd w:w="120" w:type="dxa"/>
        <w:tblBorders>
          <w:top w:val="single" w:sz="6" w:space="0" w:color="C6D4E0"/>
          <w:left w:val="single" w:sz="6" w:space="0" w:color="C6D4E0"/>
          <w:bottom w:val="single" w:sz="6" w:space="0" w:color="C6D4E0"/>
          <w:right w:val="single" w:sz="6" w:space="0" w:color="C6D4E0"/>
          <w:insideH w:val="single" w:sz="6" w:space="0" w:color="C6D4E0"/>
          <w:insideV w:val="single" w:sz="6" w:space="0" w:color="C6D4E0"/>
        </w:tblBorders>
      </w:tblPr>
      <w:tblGrid>
        <w:gridCol w:w="9360"/>
      </w:tblGrid>
      <w:tr>
        <w:trPr>
          <w:cantSplit/>
        </w:trPr>
        <w:tc>
          <w:tcPr>
            <w:tcW w:type="dxa" w:w="9360"/>
            <w:vAlign w:val="center"/>
            <w:tcMar>
              <w:top w:w="80" w:type="dxa"/>
              <w:start w:w="120" w:type="dxa"/>
              <w:bottom w:w="80" w:type="dxa"/>
              <w:end w:w="120" w:type="dxa"/>
            </w:tcMar>
            <w:shd w:fill="FFF4DE"/>
          </w:tcPr>
          <w:p>
            <w:pPr>
              <w:spacing w:after="0" w:line="288" w:lineRule="auto"/>
            </w:pPr>
            <w:r>
              <w:rPr>
                <w:rFonts w:ascii="Calibri" w:hAnsi="Calibri" w:eastAsia="Microsoft YaHei"/>
                <w:b/>
                <w:color w:val="1F4D78"/>
                <w:sz w:val="22"/>
              </w:rPr>
              <w:t xml:space="preserve">效度边界 </w:t>
            </w:r>
            <w:r>
              <w:rPr>
                <w:rFonts w:ascii="Calibri" w:hAnsi="Calibri" w:eastAsia="Microsoft YaHei"/>
                <w:color w:val="1F2933"/>
                <w:sz w:val="22"/>
              </w:rPr>
              <w:t>MarketSignalDisclosure与DigitalStrategy在现有规则下相关性接近1，且94.25%的公司年度两类句数相同，因此正式模型不把它当作独立外部机制。改用PureSignal或SignalGap可以减少机械重叠。真正的第二编码者留出验证仍应在投稿前用独立判断完成；本正式包不把未经独立完成的一致性数字当作证据。</w:t>
            </w:r>
          </w:p>
        </w:tc>
      </w:tr>
    </w:tbl>
    <w:p>
      <w:pPr>
        <w:spacing w:after="40"/>
      </w:pPr>
    </w:p>
    <w:p>
      <w:pPr>
        <w:pStyle w:val="Heading1"/>
      </w:pPr>
      <w:r>
        <w:t>5. 变量与模型</w:t>
      </w:r>
    </w:p>
    <w:p>
      <w:pPr>
        <w:pStyle w:val="Heading2"/>
      </w:pPr>
      <w:r>
        <w:t>5.1 内部经营模型</w:t>
      </w:r>
    </w:p>
    <w:tbl>
      <w:tblPr>
        <w:tblW w:type="dxa" w:w="9360"/>
        <w:jc w:val="left"/>
        <w:tblLayout w:type="fixed"/>
        <w:tblLook w:firstColumn="1" w:firstRow="1" w:lastColumn="0" w:lastRow="0" w:noHBand="0" w:noVBand="1" w:val="04A0"/>
        <w:tblInd w:w="120" w:type="dxa"/>
        <w:tblBorders>
          <w:top w:val="single" w:sz="6" w:space="0" w:color="C6D4E0"/>
          <w:left w:val="single" w:sz="6" w:space="0" w:color="C6D4E0"/>
          <w:bottom w:val="single" w:sz="6" w:space="0" w:color="C6D4E0"/>
          <w:right w:val="single" w:sz="6" w:space="0" w:color="C6D4E0"/>
          <w:insideH w:val="single" w:sz="6" w:space="0" w:color="C6D4E0"/>
          <w:insideV w:val="single" w:sz="6" w:space="0" w:color="C6D4E0"/>
        </w:tblBorders>
      </w:tblPr>
      <w:tblGrid>
        <w:gridCol w:w="9360"/>
      </w:tblGrid>
      <w:tr>
        <w:trPr>
          <w:cantSplit/>
        </w:trPr>
        <w:tc>
          <w:tcPr>
            <w:tcW w:type="dxa" w:w="9360"/>
            <w:vAlign w:val="center"/>
            <w:tcMar>
              <w:top w:w="80" w:type="dxa"/>
              <w:start w:w="120" w:type="dxa"/>
              <w:bottom w:w="80" w:type="dxa"/>
              <w:end w:w="120" w:type="dxa"/>
            </w:tcMar>
            <w:shd w:fill="F4F6F9"/>
          </w:tcPr>
          <w:p>
            <w:pPr>
              <w:spacing w:after="0" w:line="288" w:lineRule="auto"/>
            </w:pPr>
            <w:r>
              <w:rPr>
                <w:rFonts w:ascii="Calibri" w:hAnsi="Calibri" w:eastAsia="Microsoft YaHei"/>
                <w:b/>
                <w:color w:val="1F4D78"/>
                <w:sz w:val="22"/>
              </w:rPr>
              <w:t xml:space="preserve">模型 </w:t>
            </w:r>
            <w:r>
              <w:rPr>
                <w:rFonts w:ascii="Calibri" w:hAnsi="Calibri" w:eastAsia="Microsoft YaHei"/>
                <w:color w:val="1F2933"/>
                <w:sz w:val="22"/>
              </w:rPr>
              <w:t>Y(i,t+1) = β·DigitalStrategy(i,t) + γ'X(i,t) + α(i) + λ(t) + ε(i,t)</w:t>
            </w:r>
          </w:p>
        </w:tc>
      </w:tr>
    </w:tbl>
    <w:p>
      <w:pPr>
        <w:spacing w:after="40"/>
      </w:pPr>
    </w:p>
    <w:p>
      <w:pPr>
        <w:spacing w:before="0" w:after="160" w:line="320" w:lineRule="auto"/>
        <w:jc w:val="both"/>
      </w:pPr>
      <w:r>
        <w:rPr>
          <w:rFonts w:ascii="Calibri" w:hAnsi="Calibri" w:eastAsia="Microsoft YaHei"/>
          <w:b w:val="0"/>
          <w:i w:val="0"/>
          <w:color w:val="1F2933"/>
          <w:sz w:val="22"/>
        </w:rPr>
        <w:t>因变量分别为次年销售增长率、次年ROA和次年营业利润率。核心控制变量包括公司规模、杠杆、同期ROA、销售增长、流动性、营业利润率、公司年龄、亏损虚拟变量、负净资产虚拟变量和年报篇幅。扩展模型加入资产周转率、营运资本比率、员工规模和最大股东及关联方持股；2020年以后另加入研发强度与外部董事比例。连续变量按1%和99%缩尾。</w:t>
      </w:r>
    </w:p>
    <w:p>
      <w:pPr>
        <w:spacing w:before="0" w:after="160" w:line="320" w:lineRule="auto"/>
        <w:jc w:val="both"/>
      </w:pPr>
      <w:r>
        <w:rPr>
          <w:rFonts w:ascii="Calibri" w:hAnsi="Calibri" w:eastAsia="Microsoft YaHei"/>
          <w:b w:val="0"/>
          <w:i w:val="0"/>
          <w:color w:val="1F2933"/>
          <w:sz w:val="22"/>
        </w:rPr>
        <w:t>公司固定效应吸收不随时间变化的管理质量、行业定位和企业文化，年份固定效应吸收宏观经济与共同数字化趋势，标准误按公司聚类以允许公司内序列相关。模型识别来自同一公司跨年度数字战略强度的变化，因此指标高持久性会降低有效信息和检验力。</w:t>
      </w:r>
    </w:p>
    <w:p>
      <w:pPr>
        <w:pStyle w:val="Heading2"/>
      </w:pPr>
      <w:r>
        <w:t>5.2 资本市场模型</w:t>
      </w:r>
    </w:p>
    <w:tbl>
      <w:tblPr>
        <w:tblW w:type="dxa" w:w="9360"/>
        <w:jc w:val="left"/>
        <w:tblLayout w:type="fixed"/>
        <w:tblLook w:firstColumn="1" w:firstRow="1" w:lastColumn="0" w:lastRow="0" w:noHBand="0" w:noVBand="1" w:val="04A0"/>
        <w:tblInd w:w="120" w:type="dxa"/>
        <w:tblBorders>
          <w:top w:val="single" w:sz="6" w:space="0" w:color="C6D4E0"/>
          <w:left w:val="single" w:sz="6" w:space="0" w:color="C6D4E0"/>
          <w:bottom w:val="single" w:sz="6" w:space="0" w:color="C6D4E0"/>
          <w:right w:val="single" w:sz="6" w:space="0" w:color="C6D4E0"/>
          <w:insideH w:val="single" w:sz="6" w:space="0" w:color="C6D4E0"/>
          <w:insideV w:val="single" w:sz="6" w:space="0" w:color="C6D4E0"/>
        </w:tblBorders>
      </w:tblPr>
      <w:tblGrid>
        <w:gridCol w:w="9360"/>
      </w:tblGrid>
      <w:tr>
        <w:trPr>
          <w:cantSplit/>
        </w:trPr>
        <w:tc>
          <w:tcPr>
            <w:tcW w:type="dxa" w:w="9360"/>
            <w:vAlign w:val="center"/>
            <w:tcMar>
              <w:top w:w="80" w:type="dxa"/>
              <w:start w:w="120" w:type="dxa"/>
              <w:bottom w:w="80" w:type="dxa"/>
              <w:end w:w="120" w:type="dxa"/>
            </w:tcMar>
            <w:shd w:fill="F4F6F9"/>
          </w:tcPr>
          <w:p>
            <w:pPr>
              <w:spacing w:after="0" w:line="288" w:lineRule="auto"/>
            </w:pPr>
            <w:r>
              <w:rPr>
                <w:rFonts w:ascii="Calibri" w:hAnsi="Calibri" w:eastAsia="Microsoft YaHei"/>
                <w:b/>
                <w:color w:val="1F4D78"/>
                <w:sz w:val="22"/>
              </w:rPr>
              <w:t xml:space="preserve">模型 </w:t>
            </w:r>
            <w:r>
              <w:rPr>
                <w:rFonts w:ascii="Calibri" w:hAnsi="Calibri" w:eastAsia="Microsoft YaHei"/>
                <w:color w:val="1F2933"/>
                <w:sz w:val="22"/>
              </w:rPr>
              <w:t>CAR(i,e)[0,+2] = β·DigitalStrategy(i,t) + γ'X(i,t) + α(i) + δ(e) + u(i,e)</w:t>
            </w:r>
          </w:p>
        </w:tc>
      </w:tr>
    </w:tbl>
    <w:p>
      <w:pPr>
        <w:spacing w:after="40"/>
      </w:pPr>
    </w:p>
    <w:p>
      <w:pPr>
        <w:spacing w:before="0" w:after="160" w:line="320" w:lineRule="auto"/>
        <w:jc w:val="both"/>
      </w:pPr>
      <w:r>
        <w:rPr>
          <w:rFonts w:ascii="Calibri" w:hAnsi="Calibri" w:eastAsia="Microsoft YaHei"/>
          <w:b w:val="0"/>
          <w:i w:val="0"/>
          <w:color w:val="1F2933"/>
          <w:sz w:val="22"/>
        </w:rPr>
        <w:t>首选模型使用公司固定效应和精确披露交易日固定效应，标准误按公司与披露日双向聚类。事件日固定效应比一般年份固定效应更合适，因为大量韩国年报集中在法定披露期限附近，同日市场冲击可能造成跨公司相关。控制变量为核心财务变量、年报篇幅、财年股票收益和日收益波动率；滞后控制模型用于降低同时控制披露结果的风险。</w:t>
      </w:r>
    </w:p>
    <w:p>
      <w:pPr>
        <w:pStyle w:val="Heading2"/>
      </w:pPr>
      <w:r>
        <w:t>5.3 非线性与交互项</w:t>
      </w:r>
    </w:p>
    <w:p>
      <w:pPr>
        <w:spacing w:before="0" w:after="160" w:line="320" w:lineRule="auto"/>
        <w:jc w:val="both"/>
      </w:pPr>
      <w:r>
        <w:rPr>
          <w:rFonts w:ascii="Calibri" w:hAnsi="Calibri" w:eastAsia="Microsoft YaHei"/>
          <w:b w:val="0"/>
          <w:i w:val="0"/>
          <w:color w:val="1F2933"/>
          <w:sz w:val="22"/>
        </w:rPr>
        <w:t>平方项模型并不天然更准确。只有在理论上存在阈值、调整成本或倒U形机制，并且数据在公司内提供足够曲率信息时，非线性才有优势。本研究把平方项、正值样本三次项、四分位组和两部分模型作为探索性检验，并用联合显著性而非单个项判断曲线。Digital×BMI和Digital×PureSignal用于检验条件性差异，不被表述为因果中介。</w:t>
      </w:r>
    </w:p>
    <w:p>
      <w:pPr>
        <w:pStyle w:val="Heading1"/>
      </w:pPr>
      <w:r>
        <w:t>6. 内部经营结果</w:t>
      </w:r>
    </w:p>
    <w:tbl>
      <w:tblPr>
        <w:tblW w:type="dxa" w:w="9360"/>
        <w:jc w:val="left"/>
        <w:tblLayout w:type="fixed"/>
        <w:tblLook w:firstColumn="1" w:firstRow="1" w:lastColumn="0" w:lastRow="0" w:noHBand="0" w:noVBand="1" w:val="04A0"/>
        <w:tblInd w:w="120" w:type="dxa"/>
        <w:tblBorders>
          <w:top w:val="single" w:sz="4" w:space="0" w:color="D6DEE6"/>
          <w:left w:val="single" w:sz="4" w:space="0" w:color="D6DEE6"/>
          <w:bottom w:val="single" w:sz="4" w:space="0" w:color="D6DEE6"/>
          <w:right w:val="single" w:sz="4" w:space="0" w:color="D6DEE6"/>
          <w:insideH w:val="single" w:sz="4" w:space="0" w:color="D6DEE6"/>
          <w:insideV w:val="single" w:sz="4" w:space="0" w:color="D6DEE6"/>
        </w:tblBorders>
      </w:tblPr>
      <w:tblGrid>
        <w:gridCol w:w="2600"/>
        <w:gridCol w:w="1350"/>
        <w:gridCol w:w="1350"/>
        <w:gridCol w:w="1100"/>
        <w:gridCol w:w="1100"/>
        <w:gridCol w:w="1860"/>
      </w:tblGrid>
      <w:tr>
        <w:trPr>
          <w:cantSplit/>
        </w:trPr>
        <w:tc>
          <w:tcPr>
            <w:tcW w:type="dxa" w:w="2600"/>
            <w:shd w:fill="1F4D78"/>
            <w:vAlign w:val="center"/>
            <w:tcMar>
              <w:top w:w="80" w:type="dxa"/>
              <w:start w:w="120" w:type="dxa"/>
              <w:bottom w:w="80" w:type="dxa"/>
              <w:end w:w="120" w:type="dxa"/>
            </w:tcMar>
          </w:tcPr>
          <w:p>
            <w:pPr>
              <w:spacing w:after="0"/>
              <w:jc w:val="center"/>
            </w:pPr>
            <w:r>
              <w:rPr>
                <w:rFonts w:ascii="Calibri" w:hAnsi="Calibri" w:eastAsia="Microsoft YaHei"/>
                <w:b/>
                <w:color w:val="FFFFFF"/>
                <w:sz w:val="18"/>
              </w:rPr>
              <w:t>因变量</w:t>
            </w:r>
          </w:p>
        </w:tc>
        <w:tc>
          <w:tcPr>
            <w:tcW w:type="dxa" w:w="1350"/>
            <w:shd w:fill="1F4D78"/>
            <w:vAlign w:val="center"/>
            <w:tcMar>
              <w:top w:w="80" w:type="dxa"/>
              <w:start w:w="120" w:type="dxa"/>
              <w:bottom w:w="80" w:type="dxa"/>
              <w:end w:w="120" w:type="dxa"/>
            </w:tcMar>
          </w:tcPr>
          <w:p>
            <w:pPr>
              <w:spacing w:after="0"/>
              <w:jc w:val="center"/>
            </w:pPr>
            <w:r>
              <w:rPr>
                <w:rFonts w:ascii="Calibri" w:hAnsi="Calibri" w:eastAsia="Microsoft YaHei"/>
                <w:b/>
                <w:color w:val="FFFFFF"/>
                <w:sz w:val="18"/>
              </w:rPr>
              <w:t>系数</w:t>
            </w:r>
          </w:p>
        </w:tc>
        <w:tc>
          <w:tcPr>
            <w:tcW w:type="dxa" w:w="1350"/>
            <w:shd w:fill="1F4D78"/>
            <w:vAlign w:val="center"/>
            <w:tcMar>
              <w:top w:w="80" w:type="dxa"/>
              <w:start w:w="120" w:type="dxa"/>
              <w:bottom w:w="80" w:type="dxa"/>
              <w:end w:w="120" w:type="dxa"/>
            </w:tcMar>
          </w:tcPr>
          <w:p>
            <w:pPr>
              <w:spacing w:after="0"/>
              <w:jc w:val="center"/>
            </w:pPr>
            <w:r>
              <w:rPr>
                <w:rFonts w:ascii="Calibri" w:hAnsi="Calibri" w:eastAsia="Microsoft YaHei"/>
                <w:b/>
                <w:color w:val="FFFFFF"/>
                <w:sz w:val="18"/>
              </w:rPr>
              <w:t>标准误</w:t>
            </w:r>
          </w:p>
        </w:tc>
        <w:tc>
          <w:tcPr>
            <w:tcW w:type="dxa" w:w="1100"/>
            <w:shd w:fill="1F4D78"/>
            <w:vAlign w:val="center"/>
            <w:tcMar>
              <w:top w:w="80" w:type="dxa"/>
              <w:start w:w="120" w:type="dxa"/>
              <w:bottom w:w="80" w:type="dxa"/>
              <w:end w:w="120" w:type="dxa"/>
            </w:tcMar>
          </w:tcPr>
          <w:p>
            <w:pPr>
              <w:spacing w:after="0"/>
              <w:jc w:val="center"/>
            </w:pPr>
            <w:r>
              <w:rPr>
                <w:rFonts w:ascii="Calibri" w:hAnsi="Calibri" w:eastAsia="Microsoft YaHei"/>
                <w:b/>
                <w:color w:val="FFFFFF"/>
                <w:sz w:val="18"/>
              </w:rPr>
              <w:t>p值</w:t>
            </w:r>
          </w:p>
        </w:tc>
        <w:tc>
          <w:tcPr>
            <w:tcW w:type="dxa" w:w="1100"/>
            <w:shd w:fill="1F4D78"/>
            <w:vAlign w:val="center"/>
            <w:tcMar>
              <w:top w:w="80" w:type="dxa"/>
              <w:start w:w="120" w:type="dxa"/>
              <w:bottom w:w="80" w:type="dxa"/>
              <w:end w:w="120" w:type="dxa"/>
            </w:tcMar>
          </w:tcPr>
          <w:p>
            <w:pPr>
              <w:spacing w:after="0"/>
              <w:jc w:val="center"/>
            </w:pPr>
            <w:r>
              <w:rPr>
                <w:rFonts w:ascii="Calibri" w:hAnsi="Calibri" w:eastAsia="Microsoft YaHei"/>
                <w:b/>
                <w:color w:val="FFFFFF"/>
                <w:sz w:val="18"/>
              </w:rPr>
              <w:t>FDR</w:t>
            </w:r>
          </w:p>
        </w:tc>
        <w:tc>
          <w:tcPr>
            <w:tcW w:type="dxa" w:w="1860"/>
            <w:shd w:fill="1F4D78"/>
            <w:vAlign w:val="center"/>
            <w:tcMar>
              <w:top w:w="80" w:type="dxa"/>
              <w:start w:w="120" w:type="dxa"/>
              <w:bottom w:w="80" w:type="dxa"/>
              <w:end w:w="120" w:type="dxa"/>
            </w:tcMar>
          </w:tcPr>
          <w:p>
            <w:pPr>
              <w:spacing w:after="0"/>
              <w:jc w:val="center"/>
            </w:pPr>
            <w:r>
              <w:rPr>
                <w:rFonts w:ascii="Calibri" w:hAnsi="Calibri" w:eastAsia="Microsoft YaHei"/>
                <w:b/>
                <w:color w:val="FFFFFF"/>
                <w:sz w:val="18"/>
              </w:rPr>
              <w:t>N</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eastAsia="Microsoft YaHei"/>
                <w:color w:val="1F2933"/>
                <w:sz w:val="18"/>
              </w:rPr>
              <w:t>次年销售增长率</w:t>
            </w:r>
          </w:p>
        </w:tc>
        <w:tc>
          <w:tcPr>
            <w:tcW w:type="dxa" w:w="1350"/>
            <w:vAlign w:val="center"/>
            <w:tcMar>
              <w:top w:w="80" w:type="dxa"/>
              <w:start w:w="120" w:type="dxa"/>
              <w:bottom w:w="80" w:type="dxa"/>
              <w:end w:w="120" w:type="dxa"/>
            </w:tcMar>
          </w:tcPr>
          <w:p>
            <w:pPr>
              <w:spacing w:after="0" w:line="252" w:lineRule="auto"/>
            </w:pPr>
            <w:r>
              <w:rPr>
                <w:rFonts w:ascii="Calibri" w:hAnsi="Calibri" w:eastAsia="Microsoft YaHei"/>
                <w:color w:val="1F2933"/>
                <w:sz w:val="18"/>
              </w:rPr>
              <w:t>0.002791</w:t>
            </w:r>
          </w:p>
        </w:tc>
        <w:tc>
          <w:tcPr>
            <w:tcW w:type="dxa" w:w="1350"/>
            <w:vAlign w:val="center"/>
            <w:tcMar>
              <w:top w:w="80" w:type="dxa"/>
              <w:start w:w="120" w:type="dxa"/>
              <w:bottom w:w="80" w:type="dxa"/>
              <w:end w:w="120" w:type="dxa"/>
            </w:tcMar>
          </w:tcPr>
          <w:p>
            <w:pPr>
              <w:spacing w:after="0" w:line="252" w:lineRule="auto"/>
            </w:pPr>
            <w:r>
              <w:rPr>
                <w:rFonts w:ascii="Calibri" w:hAnsi="Calibri" w:eastAsia="Microsoft YaHei"/>
                <w:color w:val="1F2933"/>
                <w:sz w:val="18"/>
              </w:rPr>
              <w:t>0.011980</w:t>
            </w:r>
          </w:p>
        </w:tc>
        <w:tc>
          <w:tcPr>
            <w:tcW w:type="dxa" w:w="1100"/>
            <w:vAlign w:val="center"/>
            <w:tcMar>
              <w:top w:w="80" w:type="dxa"/>
              <w:start w:w="120" w:type="dxa"/>
              <w:bottom w:w="80" w:type="dxa"/>
              <w:end w:w="120" w:type="dxa"/>
            </w:tcMar>
          </w:tcPr>
          <w:p>
            <w:pPr>
              <w:spacing w:after="0" w:line="252" w:lineRule="auto"/>
            </w:pPr>
            <w:r>
              <w:rPr>
                <w:rFonts w:ascii="Calibri" w:hAnsi="Calibri" w:eastAsia="Microsoft YaHei"/>
                <w:color w:val="1F2933"/>
                <w:sz w:val="18"/>
              </w:rPr>
              <w:t>0.816</w:t>
            </w:r>
          </w:p>
        </w:tc>
        <w:tc>
          <w:tcPr>
            <w:tcW w:type="dxa" w:w="1100"/>
            <w:vAlign w:val="center"/>
            <w:tcMar>
              <w:top w:w="80" w:type="dxa"/>
              <w:start w:w="120" w:type="dxa"/>
              <w:bottom w:w="80" w:type="dxa"/>
              <w:end w:w="120" w:type="dxa"/>
            </w:tcMar>
          </w:tcPr>
          <w:p>
            <w:pPr>
              <w:spacing w:after="0" w:line="252" w:lineRule="auto"/>
            </w:pPr>
            <w:r>
              <w:rPr>
                <w:rFonts w:ascii="Calibri" w:hAnsi="Calibri" w:eastAsia="Microsoft YaHei"/>
                <w:color w:val="1F2933"/>
                <w:sz w:val="18"/>
              </w:rPr>
              <w:t>0.879</w:t>
            </w:r>
          </w:p>
        </w:tc>
        <w:tc>
          <w:tcPr>
            <w:tcW w:type="dxa" w:w="1860"/>
            <w:vAlign w:val="center"/>
            <w:tcMar>
              <w:top w:w="80" w:type="dxa"/>
              <w:start w:w="120" w:type="dxa"/>
              <w:bottom w:w="80" w:type="dxa"/>
              <w:end w:w="120" w:type="dxa"/>
            </w:tcMar>
          </w:tcPr>
          <w:p>
            <w:pPr>
              <w:spacing w:after="0" w:line="252" w:lineRule="auto"/>
            </w:pPr>
            <w:r>
              <w:rPr>
                <w:rFonts w:ascii="Calibri" w:hAnsi="Calibri" w:eastAsia="Microsoft YaHei"/>
                <w:color w:val="1F2933"/>
                <w:sz w:val="18"/>
              </w:rPr>
              <w:t>16,535</w:t>
            </w:r>
          </w:p>
        </w:tc>
      </w:tr>
      <w:tr>
        <w:trPr>
          <w:cantSplit/>
        </w:trPr>
        <w:tc>
          <w:tcPr>
            <w:tcW w:type="dxa" w:w="2600"/>
            <w:shd w:fill="F4F6F9"/>
            <w:vAlign w:val="center"/>
            <w:tcMar>
              <w:top w:w="80" w:type="dxa"/>
              <w:start w:w="120" w:type="dxa"/>
              <w:bottom w:w="80" w:type="dxa"/>
              <w:end w:w="120" w:type="dxa"/>
            </w:tcMar>
          </w:tcPr>
          <w:p>
            <w:pPr>
              <w:spacing w:after="0" w:line="252" w:lineRule="auto"/>
            </w:pPr>
            <w:r>
              <w:rPr>
                <w:rFonts w:ascii="Calibri" w:hAnsi="Calibri" w:eastAsia="Microsoft YaHei"/>
                <w:color w:val="1F2933"/>
                <w:sz w:val="18"/>
              </w:rPr>
              <w:t>次年ROA</w:t>
            </w:r>
          </w:p>
        </w:tc>
        <w:tc>
          <w:tcPr>
            <w:tcW w:type="dxa" w:w="1350"/>
            <w:shd w:fill="F4F6F9"/>
            <w:vAlign w:val="center"/>
            <w:tcMar>
              <w:top w:w="80" w:type="dxa"/>
              <w:start w:w="120" w:type="dxa"/>
              <w:bottom w:w="80" w:type="dxa"/>
              <w:end w:w="120" w:type="dxa"/>
            </w:tcMar>
          </w:tcPr>
          <w:p>
            <w:pPr>
              <w:spacing w:after="0" w:line="252" w:lineRule="auto"/>
            </w:pPr>
            <w:r>
              <w:rPr>
                <w:rFonts w:ascii="Calibri" w:hAnsi="Calibri" w:eastAsia="Microsoft YaHei"/>
                <w:color w:val="1F2933"/>
                <w:sz w:val="18"/>
              </w:rPr>
              <w:t>-0.003709</w:t>
            </w:r>
          </w:p>
        </w:tc>
        <w:tc>
          <w:tcPr>
            <w:tcW w:type="dxa" w:w="1350"/>
            <w:shd w:fill="F4F6F9"/>
            <w:vAlign w:val="center"/>
            <w:tcMar>
              <w:top w:w="80" w:type="dxa"/>
              <w:start w:w="120" w:type="dxa"/>
              <w:bottom w:w="80" w:type="dxa"/>
              <w:end w:w="120" w:type="dxa"/>
            </w:tcMar>
          </w:tcPr>
          <w:p>
            <w:pPr>
              <w:spacing w:after="0" w:line="252" w:lineRule="auto"/>
            </w:pPr>
            <w:r>
              <w:rPr>
                <w:rFonts w:ascii="Calibri" w:hAnsi="Calibri" w:eastAsia="Microsoft YaHei"/>
                <w:color w:val="1F2933"/>
                <w:sz w:val="18"/>
              </w:rPr>
              <w:t>0.002655</w:t>
            </w:r>
          </w:p>
        </w:tc>
        <w:tc>
          <w:tcPr>
            <w:tcW w:type="dxa" w:w="1100"/>
            <w:shd w:fill="F4F6F9"/>
            <w:vAlign w:val="center"/>
            <w:tcMar>
              <w:top w:w="80" w:type="dxa"/>
              <w:start w:w="120" w:type="dxa"/>
              <w:bottom w:w="80" w:type="dxa"/>
              <w:end w:w="120" w:type="dxa"/>
            </w:tcMar>
          </w:tcPr>
          <w:p>
            <w:pPr>
              <w:spacing w:after="0" w:line="252" w:lineRule="auto"/>
            </w:pPr>
            <w:r>
              <w:rPr>
                <w:rFonts w:ascii="Calibri" w:hAnsi="Calibri" w:eastAsia="Microsoft YaHei"/>
                <w:color w:val="1F2933"/>
                <w:sz w:val="18"/>
              </w:rPr>
              <w:t>0.162</w:t>
            </w:r>
          </w:p>
        </w:tc>
        <w:tc>
          <w:tcPr>
            <w:tcW w:type="dxa" w:w="1100"/>
            <w:shd w:fill="F4F6F9"/>
            <w:vAlign w:val="center"/>
            <w:tcMar>
              <w:top w:w="80" w:type="dxa"/>
              <w:start w:w="120" w:type="dxa"/>
              <w:bottom w:w="80" w:type="dxa"/>
              <w:end w:w="120" w:type="dxa"/>
            </w:tcMar>
          </w:tcPr>
          <w:p>
            <w:pPr>
              <w:spacing w:after="0" w:line="252" w:lineRule="auto"/>
            </w:pPr>
            <w:r>
              <w:rPr>
                <w:rFonts w:ascii="Calibri" w:hAnsi="Calibri" w:eastAsia="Microsoft YaHei"/>
                <w:color w:val="1F2933"/>
                <w:sz w:val="18"/>
              </w:rPr>
              <w:t>0.879</w:t>
            </w:r>
          </w:p>
        </w:tc>
        <w:tc>
          <w:tcPr>
            <w:tcW w:type="dxa" w:w="1860"/>
            <w:shd w:fill="F4F6F9"/>
            <w:vAlign w:val="center"/>
            <w:tcMar>
              <w:top w:w="80" w:type="dxa"/>
              <w:start w:w="120" w:type="dxa"/>
              <w:bottom w:w="80" w:type="dxa"/>
              <w:end w:w="120" w:type="dxa"/>
            </w:tcMar>
          </w:tcPr>
          <w:p>
            <w:pPr>
              <w:spacing w:after="0" w:line="252" w:lineRule="auto"/>
            </w:pPr>
            <w:r>
              <w:rPr>
                <w:rFonts w:ascii="Calibri" w:hAnsi="Calibri" w:eastAsia="Microsoft YaHei"/>
                <w:color w:val="1F2933"/>
                <w:sz w:val="18"/>
              </w:rPr>
              <w:t>16,521</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eastAsia="Microsoft YaHei"/>
                <w:color w:val="1F2933"/>
                <w:sz w:val="18"/>
              </w:rPr>
              <w:t>次年营业利润率</w:t>
            </w:r>
          </w:p>
        </w:tc>
        <w:tc>
          <w:tcPr>
            <w:tcW w:type="dxa" w:w="1350"/>
            <w:vAlign w:val="center"/>
            <w:tcMar>
              <w:top w:w="80" w:type="dxa"/>
              <w:start w:w="120" w:type="dxa"/>
              <w:bottom w:w="80" w:type="dxa"/>
              <w:end w:w="120" w:type="dxa"/>
            </w:tcMar>
          </w:tcPr>
          <w:p>
            <w:pPr>
              <w:spacing w:after="0" w:line="252" w:lineRule="auto"/>
            </w:pPr>
            <w:r>
              <w:rPr>
                <w:rFonts w:ascii="Calibri" w:hAnsi="Calibri" w:eastAsia="Microsoft YaHei"/>
                <w:color w:val="1F2933"/>
                <w:sz w:val="18"/>
              </w:rPr>
              <w:t>-0.007375</w:t>
            </w:r>
          </w:p>
        </w:tc>
        <w:tc>
          <w:tcPr>
            <w:tcW w:type="dxa" w:w="1350"/>
            <w:vAlign w:val="center"/>
            <w:tcMar>
              <w:top w:w="80" w:type="dxa"/>
              <w:start w:w="120" w:type="dxa"/>
              <w:bottom w:w="80" w:type="dxa"/>
              <w:end w:w="120" w:type="dxa"/>
            </w:tcMar>
          </w:tcPr>
          <w:p>
            <w:pPr>
              <w:spacing w:after="0" w:line="252" w:lineRule="auto"/>
            </w:pPr>
            <w:r>
              <w:rPr>
                <w:rFonts w:ascii="Calibri" w:hAnsi="Calibri" w:eastAsia="Microsoft YaHei"/>
                <w:color w:val="1F2933"/>
                <w:sz w:val="18"/>
              </w:rPr>
              <w:t>0.009633</w:t>
            </w:r>
          </w:p>
        </w:tc>
        <w:tc>
          <w:tcPr>
            <w:tcW w:type="dxa" w:w="1100"/>
            <w:vAlign w:val="center"/>
            <w:tcMar>
              <w:top w:w="80" w:type="dxa"/>
              <w:start w:w="120" w:type="dxa"/>
              <w:bottom w:w="80" w:type="dxa"/>
              <w:end w:w="120" w:type="dxa"/>
            </w:tcMar>
          </w:tcPr>
          <w:p>
            <w:pPr>
              <w:spacing w:after="0" w:line="252" w:lineRule="auto"/>
            </w:pPr>
            <w:r>
              <w:rPr>
                <w:rFonts w:ascii="Calibri" w:hAnsi="Calibri" w:eastAsia="Microsoft YaHei"/>
                <w:color w:val="1F2933"/>
                <w:sz w:val="18"/>
              </w:rPr>
              <w:t>0.444</w:t>
            </w:r>
          </w:p>
        </w:tc>
        <w:tc>
          <w:tcPr>
            <w:tcW w:type="dxa" w:w="1100"/>
            <w:vAlign w:val="center"/>
            <w:tcMar>
              <w:top w:w="80" w:type="dxa"/>
              <w:start w:w="120" w:type="dxa"/>
              <w:bottom w:w="80" w:type="dxa"/>
              <w:end w:w="120" w:type="dxa"/>
            </w:tcMar>
          </w:tcPr>
          <w:p>
            <w:pPr>
              <w:spacing w:after="0" w:line="252" w:lineRule="auto"/>
            </w:pPr>
            <w:r>
              <w:rPr>
                <w:rFonts w:ascii="Calibri" w:hAnsi="Calibri" w:eastAsia="Microsoft YaHei"/>
                <w:color w:val="1F2933"/>
                <w:sz w:val="18"/>
              </w:rPr>
              <w:t>0.879</w:t>
            </w:r>
          </w:p>
        </w:tc>
        <w:tc>
          <w:tcPr>
            <w:tcW w:type="dxa" w:w="1860"/>
            <w:vAlign w:val="center"/>
            <w:tcMar>
              <w:top w:w="80" w:type="dxa"/>
              <w:start w:w="120" w:type="dxa"/>
              <w:bottom w:w="80" w:type="dxa"/>
              <w:end w:w="120" w:type="dxa"/>
            </w:tcMar>
          </w:tcPr>
          <w:p>
            <w:pPr>
              <w:spacing w:after="0" w:line="252" w:lineRule="auto"/>
            </w:pPr>
            <w:r>
              <w:rPr>
                <w:rFonts w:ascii="Calibri" w:hAnsi="Calibri" w:eastAsia="Microsoft YaHei"/>
                <w:color w:val="1F2933"/>
                <w:sz w:val="18"/>
              </w:rPr>
              <w:t>16,521</w:t>
            </w:r>
          </w:p>
        </w:tc>
      </w:tr>
    </w:tbl>
    <w:p>
      <w:pPr>
        <w:spacing w:after="20"/>
      </w:pPr>
    </w:p>
    <w:p>
      <w:pPr>
        <w:spacing w:before="0" w:after="160" w:line="320" w:lineRule="auto"/>
        <w:jc w:val="both"/>
      </w:pPr>
      <w:r>
        <w:rPr>
          <w:rFonts w:ascii="Calibri" w:hAnsi="Calibri" w:eastAsia="Microsoft YaHei"/>
          <w:b w:val="0"/>
          <w:i w:val="0"/>
          <w:color w:val="1F2933"/>
          <w:sz w:val="22"/>
        </w:rPr>
        <w:t>销售增长的系数接近零，ROA与营业利润率的点估计为负，但均不显著。完整经营模型族包含83个数字化核心系数，没有原始p&lt;0.05，也没有FDR&lt;0.05。文本修订限制为未修订年报、修订滞后不超过90天或275天时，12项核心结果同样全部不显著。</w:t>
      </w:r>
    </w:p>
    <w:p>
      <w:pPr>
        <w:spacing w:before="0" w:after="160" w:line="320" w:lineRule="auto"/>
        <w:jc w:val="both"/>
      </w:pPr>
      <w:r>
        <w:rPr>
          <w:rFonts w:ascii="Calibri" w:hAnsi="Calibri" w:eastAsia="Microsoft YaHei"/>
          <w:b w:val="0"/>
          <w:i w:val="0"/>
          <w:color w:val="1F2933"/>
          <w:sz w:val="22"/>
        </w:rPr>
        <w:t>这组结果不应解释为数字化没有价值。更准确的解释是：年报中实质行动的相对披露强度，无法在公司内年度变化上稳健预测下一年的短期会计绩效。可能原因包括实施收益滞后、转型成本先行、不同项目质量高度异质、年报语言对实际投入强度的测量仍不充分，以及公司固定效应下可利用变化偏小。</w:t>
      </w:r>
    </w:p>
    <w:p>
      <w:pPr>
        <w:pStyle w:val="Heading1"/>
      </w:pPr>
      <w:r>
        <w:t>7. 资本市场结果</w:t>
      </w:r>
    </w:p>
    <w:tbl>
      <w:tblPr>
        <w:tblW w:type="dxa" w:w="9360"/>
        <w:jc w:val="left"/>
        <w:tblLayout w:type="fixed"/>
        <w:tblLook w:firstColumn="1" w:firstRow="1" w:lastColumn="0" w:lastRow="0" w:noHBand="0" w:noVBand="1" w:val="04A0"/>
        <w:tblInd w:w="120" w:type="dxa"/>
        <w:tblBorders>
          <w:top w:val="single" w:sz="4" w:space="0" w:color="D6DEE6"/>
          <w:left w:val="single" w:sz="4" w:space="0" w:color="D6DEE6"/>
          <w:bottom w:val="single" w:sz="4" w:space="0" w:color="D6DEE6"/>
          <w:right w:val="single" w:sz="4" w:space="0" w:color="D6DEE6"/>
          <w:insideH w:val="single" w:sz="4" w:space="0" w:color="D6DEE6"/>
          <w:insideV w:val="single" w:sz="4" w:space="0" w:color="D6DEE6"/>
        </w:tblBorders>
      </w:tblPr>
      <w:tblGrid>
        <w:gridCol w:w="3300"/>
        <w:gridCol w:w="1300"/>
        <w:gridCol w:w="1300"/>
        <w:gridCol w:w="1000"/>
        <w:gridCol w:w="1000"/>
        <w:gridCol w:w="1460"/>
      </w:tblGrid>
      <w:tr>
        <w:trPr>
          <w:cantSplit/>
        </w:trPr>
        <w:tc>
          <w:tcPr>
            <w:tcW w:type="dxa" w:w="3300"/>
            <w:shd w:fill="1F4D78"/>
            <w:vAlign w:val="center"/>
            <w:tcMar>
              <w:top w:w="80" w:type="dxa"/>
              <w:start w:w="120" w:type="dxa"/>
              <w:bottom w:w="80" w:type="dxa"/>
              <w:end w:w="120" w:type="dxa"/>
            </w:tcMar>
          </w:tcPr>
          <w:p>
            <w:pPr>
              <w:spacing w:after="0"/>
              <w:jc w:val="center"/>
            </w:pPr>
            <w:r>
              <w:rPr>
                <w:rFonts w:ascii="Calibri" w:hAnsi="Calibri" w:eastAsia="Microsoft YaHei"/>
                <w:b/>
                <w:color w:val="FFFFFF"/>
                <w:sz w:val="17"/>
              </w:rPr>
              <w:t>模型</w:t>
            </w:r>
          </w:p>
        </w:tc>
        <w:tc>
          <w:tcPr>
            <w:tcW w:type="dxa" w:w="1300"/>
            <w:shd w:fill="1F4D78"/>
            <w:vAlign w:val="center"/>
            <w:tcMar>
              <w:top w:w="80" w:type="dxa"/>
              <w:start w:w="120" w:type="dxa"/>
              <w:bottom w:w="80" w:type="dxa"/>
              <w:end w:w="120" w:type="dxa"/>
            </w:tcMar>
          </w:tcPr>
          <w:p>
            <w:pPr>
              <w:spacing w:after="0"/>
              <w:jc w:val="center"/>
            </w:pPr>
            <w:r>
              <w:rPr>
                <w:rFonts w:ascii="Calibri" w:hAnsi="Calibri" w:eastAsia="Microsoft YaHei"/>
                <w:b/>
                <w:color w:val="FFFFFF"/>
                <w:sz w:val="17"/>
              </w:rPr>
              <w:t>系数</w:t>
            </w:r>
          </w:p>
        </w:tc>
        <w:tc>
          <w:tcPr>
            <w:tcW w:type="dxa" w:w="1300"/>
            <w:shd w:fill="1F4D78"/>
            <w:vAlign w:val="center"/>
            <w:tcMar>
              <w:top w:w="80" w:type="dxa"/>
              <w:start w:w="120" w:type="dxa"/>
              <w:bottom w:w="80" w:type="dxa"/>
              <w:end w:w="120" w:type="dxa"/>
            </w:tcMar>
          </w:tcPr>
          <w:p>
            <w:pPr>
              <w:spacing w:after="0"/>
              <w:jc w:val="center"/>
            </w:pPr>
            <w:r>
              <w:rPr>
                <w:rFonts w:ascii="Calibri" w:hAnsi="Calibri" w:eastAsia="Microsoft YaHei"/>
                <w:b/>
                <w:color w:val="FFFFFF"/>
                <w:sz w:val="17"/>
              </w:rPr>
              <w:t>标准误</w:t>
            </w:r>
          </w:p>
        </w:tc>
        <w:tc>
          <w:tcPr>
            <w:tcW w:type="dxa" w:w="1000"/>
            <w:shd w:fill="1F4D78"/>
            <w:vAlign w:val="center"/>
            <w:tcMar>
              <w:top w:w="80" w:type="dxa"/>
              <w:start w:w="120" w:type="dxa"/>
              <w:bottom w:w="80" w:type="dxa"/>
              <w:end w:w="120" w:type="dxa"/>
            </w:tcMar>
          </w:tcPr>
          <w:p>
            <w:pPr>
              <w:spacing w:after="0"/>
              <w:jc w:val="center"/>
            </w:pPr>
            <w:r>
              <w:rPr>
                <w:rFonts w:ascii="Calibri" w:hAnsi="Calibri" w:eastAsia="Microsoft YaHei"/>
                <w:b/>
                <w:color w:val="FFFFFF"/>
                <w:sz w:val="17"/>
              </w:rPr>
              <w:t>p值</w:t>
            </w:r>
          </w:p>
        </w:tc>
        <w:tc>
          <w:tcPr>
            <w:tcW w:type="dxa" w:w="1000"/>
            <w:shd w:fill="1F4D78"/>
            <w:vAlign w:val="center"/>
            <w:tcMar>
              <w:top w:w="80" w:type="dxa"/>
              <w:start w:w="120" w:type="dxa"/>
              <w:bottom w:w="80" w:type="dxa"/>
              <w:end w:w="120" w:type="dxa"/>
            </w:tcMar>
          </w:tcPr>
          <w:p>
            <w:pPr>
              <w:spacing w:after="0"/>
              <w:jc w:val="center"/>
            </w:pPr>
            <w:r>
              <w:rPr>
                <w:rFonts w:ascii="Calibri" w:hAnsi="Calibri" w:eastAsia="Microsoft YaHei"/>
                <w:b/>
                <w:color w:val="FFFFFF"/>
                <w:sz w:val="17"/>
              </w:rPr>
              <w:t>FDR</w:t>
            </w:r>
          </w:p>
        </w:tc>
        <w:tc>
          <w:tcPr>
            <w:tcW w:type="dxa" w:w="1460"/>
            <w:shd w:fill="1F4D78"/>
            <w:vAlign w:val="center"/>
            <w:tcMar>
              <w:top w:w="80" w:type="dxa"/>
              <w:start w:w="120" w:type="dxa"/>
              <w:bottom w:w="80" w:type="dxa"/>
              <w:end w:w="120" w:type="dxa"/>
            </w:tcMar>
          </w:tcPr>
          <w:p>
            <w:pPr>
              <w:spacing w:after="0"/>
              <w:jc w:val="center"/>
            </w:pPr>
            <w:r>
              <w:rPr>
                <w:rFonts w:ascii="Calibri" w:hAnsi="Calibri" w:eastAsia="Microsoft YaHei"/>
                <w:b/>
                <w:color w:val="FFFFFF"/>
                <w:sz w:val="17"/>
              </w:rPr>
              <w:t>N</w:t>
            </w:r>
          </w:p>
        </w:tc>
      </w:tr>
      <w:tr>
        <w:trPr>
          <w:cantSplit/>
        </w:trPr>
        <w:tc>
          <w:tcPr>
            <w:tcW w:type="dxa" w:w="3300"/>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年份FE/公司聚类</w:t>
            </w:r>
          </w:p>
        </w:tc>
        <w:tc>
          <w:tcPr>
            <w:tcW w:type="dxa" w:w="1300"/>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-0.003173</w:t>
            </w:r>
          </w:p>
        </w:tc>
        <w:tc>
          <w:tcPr>
            <w:tcW w:type="dxa" w:w="1300"/>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0.001314</w:t>
            </w:r>
          </w:p>
        </w:tc>
        <w:tc>
          <w:tcPr>
            <w:tcW w:type="dxa" w:w="1000"/>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0.016</w:t>
            </w:r>
          </w:p>
        </w:tc>
        <w:tc>
          <w:tcPr>
            <w:tcW w:type="dxa" w:w="1000"/>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0.129</w:t>
            </w:r>
          </w:p>
        </w:tc>
        <w:tc>
          <w:tcPr>
            <w:tcW w:type="dxa" w:w="1460"/>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18,623</w:t>
            </w:r>
          </w:p>
        </w:tc>
      </w:tr>
      <w:tr>
        <w:trPr>
          <w:cantSplit/>
        </w:trPr>
        <w:tc>
          <w:tcPr>
            <w:tcW w:type="dxa" w:w="3300"/>
            <w:shd w:fill="F4F6F9"/>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事件日FE/公司聚类</w:t>
            </w:r>
          </w:p>
        </w:tc>
        <w:tc>
          <w:tcPr>
            <w:tcW w:type="dxa" w:w="1300"/>
            <w:shd w:fill="F4F6F9"/>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-0.002692</w:t>
            </w:r>
          </w:p>
        </w:tc>
        <w:tc>
          <w:tcPr>
            <w:tcW w:type="dxa" w:w="1300"/>
            <w:shd w:fill="F4F6F9"/>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0.001393</w:t>
            </w:r>
          </w:p>
        </w:tc>
        <w:tc>
          <w:tcPr>
            <w:tcW w:type="dxa" w:w="1000"/>
            <w:shd w:fill="F4F6F9"/>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0.053</w:t>
            </w:r>
          </w:p>
        </w:tc>
        <w:tc>
          <w:tcPr>
            <w:tcW w:type="dxa" w:w="1000"/>
            <w:shd w:fill="F4F6F9"/>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0.129</w:t>
            </w:r>
          </w:p>
        </w:tc>
        <w:tc>
          <w:tcPr>
            <w:tcW w:type="dxa" w:w="1460"/>
            <w:shd w:fill="F4F6F9"/>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18,623</w:t>
            </w:r>
          </w:p>
        </w:tc>
      </w:tr>
      <w:tr>
        <w:trPr>
          <w:cantSplit/>
        </w:trPr>
        <w:tc>
          <w:tcPr>
            <w:tcW w:type="dxa" w:w="3300"/>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事件日FE/双向聚类（首选）</w:t>
            </w:r>
          </w:p>
        </w:tc>
        <w:tc>
          <w:tcPr>
            <w:tcW w:type="dxa" w:w="1300"/>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-0.002692</w:t>
            </w:r>
          </w:p>
        </w:tc>
        <w:tc>
          <w:tcPr>
            <w:tcW w:type="dxa" w:w="1300"/>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0.001449</w:t>
            </w:r>
          </w:p>
        </w:tc>
        <w:tc>
          <w:tcPr>
            <w:tcW w:type="dxa" w:w="1000"/>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0.063</w:t>
            </w:r>
          </w:p>
        </w:tc>
        <w:tc>
          <w:tcPr>
            <w:tcW w:type="dxa" w:w="1000"/>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0.129</w:t>
            </w:r>
          </w:p>
        </w:tc>
        <w:tc>
          <w:tcPr>
            <w:tcW w:type="dxa" w:w="1460"/>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18,623</w:t>
            </w:r>
          </w:p>
        </w:tc>
      </w:tr>
      <w:tr>
        <w:trPr>
          <w:cantSplit/>
        </w:trPr>
        <w:tc>
          <w:tcPr>
            <w:tcW w:type="dxa" w:w="3300"/>
            <w:shd w:fill="F4F6F9"/>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滞后控制</w:t>
            </w:r>
          </w:p>
        </w:tc>
        <w:tc>
          <w:tcPr>
            <w:tcW w:type="dxa" w:w="1300"/>
            <w:shd w:fill="F4F6F9"/>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-0.002145</w:t>
            </w:r>
          </w:p>
        </w:tc>
        <w:tc>
          <w:tcPr>
            <w:tcW w:type="dxa" w:w="1300"/>
            <w:shd w:fill="F4F6F9"/>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0.001757</w:t>
            </w:r>
          </w:p>
        </w:tc>
        <w:tc>
          <w:tcPr>
            <w:tcW w:type="dxa" w:w="1000"/>
            <w:shd w:fill="F4F6F9"/>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0.222</w:t>
            </w:r>
          </w:p>
        </w:tc>
        <w:tc>
          <w:tcPr>
            <w:tcW w:type="dxa" w:w="1000"/>
            <w:shd w:fill="F4F6F9"/>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0.288</w:t>
            </w:r>
          </w:p>
        </w:tc>
        <w:tc>
          <w:tcPr>
            <w:tcW w:type="dxa" w:w="1460"/>
            <w:shd w:fill="F4F6F9"/>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16,450</w:t>
            </w:r>
          </w:p>
        </w:tc>
      </w:tr>
      <w:tr>
        <w:trPr>
          <w:cantSplit/>
        </w:trPr>
        <w:tc>
          <w:tcPr>
            <w:tcW w:type="dxa" w:w="3300"/>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市场×事件日FE</w:t>
            </w:r>
          </w:p>
        </w:tc>
        <w:tc>
          <w:tcPr>
            <w:tcW w:type="dxa" w:w="1300"/>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-0.003032</w:t>
            </w:r>
          </w:p>
        </w:tc>
        <w:tc>
          <w:tcPr>
            <w:tcW w:type="dxa" w:w="1300"/>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0.001559</w:t>
            </w:r>
          </w:p>
        </w:tc>
        <w:tc>
          <w:tcPr>
            <w:tcW w:type="dxa" w:w="1000"/>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0.052</w:t>
            </w:r>
          </w:p>
        </w:tc>
        <w:tc>
          <w:tcPr>
            <w:tcW w:type="dxa" w:w="1000"/>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0.129</w:t>
            </w:r>
          </w:p>
        </w:tc>
        <w:tc>
          <w:tcPr>
            <w:tcW w:type="dxa" w:w="1460"/>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18,623</w:t>
            </w:r>
          </w:p>
        </w:tc>
      </w:tr>
      <w:tr>
        <w:trPr>
          <w:cantSplit/>
        </w:trPr>
        <w:tc>
          <w:tcPr>
            <w:tcW w:type="dxa" w:w="3300"/>
            <w:shd w:fill="F4F6F9"/>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KOSPI</w:t>
            </w:r>
          </w:p>
        </w:tc>
        <w:tc>
          <w:tcPr>
            <w:tcW w:type="dxa" w:w="1300"/>
            <w:shd w:fill="F4F6F9"/>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-0.003964</w:t>
            </w:r>
          </w:p>
        </w:tc>
        <w:tc>
          <w:tcPr>
            <w:tcW w:type="dxa" w:w="1300"/>
            <w:shd w:fill="F4F6F9"/>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0.002348</w:t>
            </w:r>
          </w:p>
        </w:tc>
        <w:tc>
          <w:tcPr>
            <w:tcW w:type="dxa" w:w="1000"/>
            <w:shd w:fill="F4F6F9"/>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0.091</w:t>
            </w:r>
          </w:p>
        </w:tc>
        <w:tc>
          <w:tcPr>
            <w:tcW w:type="dxa" w:w="1000"/>
            <w:shd w:fill="F4F6F9"/>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0.147</w:t>
            </w:r>
          </w:p>
        </w:tc>
        <w:tc>
          <w:tcPr>
            <w:tcW w:type="dxa" w:w="1460"/>
            <w:shd w:fill="F4F6F9"/>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6,448</w:t>
            </w:r>
          </w:p>
        </w:tc>
      </w:tr>
      <w:tr>
        <w:trPr>
          <w:cantSplit/>
        </w:trPr>
        <w:tc>
          <w:tcPr>
            <w:tcW w:type="dxa" w:w="3300"/>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KOSDAQ</w:t>
            </w:r>
          </w:p>
        </w:tc>
        <w:tc>
          <w:tcPr>
            <w:tcW w:type="dxa" w:w="1300"/>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-0.002826</w:t>
            </w:r>
          </w:p>
        </w:tc>
        <w:tc>
          <w:tcPr>
            <w:tcW w:type="dxa" w:w="1300"/>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0.001799</w:t>
            </w:r>
          </w:p>
        </w:tc>
        <w:tc>
          <w:tcPr>
            <w:tcW w:type="dxa" w:w="1000"/>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0.116</w:t>
            </w:r>
          </w:p>
        </w:tc>
        <w:tc>
          <w:tcPr>
            <w:tcW w:type="dxa" w:w="1000"/>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0.171</w:t>
            </w:r>
          </w:p>
        </w:tc>
        <w:tc>
          <w:tcPr>
            <w:tcW w:type="dxa" w:w="1460"/>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12,175</w:t>
            </w:r>
          </w:p>
        </w:tc>
      </w:tr>
    </w:tbl>
    <w:p>
      <w:pPr>
        <w:spacing w:after="20"/>
      </w:pPr>
    </w:p>
    <w:p>
      <w:pPr>
        <w:jc w:val="center"/>
      </w:pPr>
      <w:r>
        <w:drawing>
          <wp:inline xmlns:a="http://schemas.openxmlformats.org/drawingml/2006/main" xmlns:pic="http://schemas.openxmlformats.org/drawingml/2006/picture">
            <wp:extent cx="5760720" cy="3131428"/>
            <wp:docPr id="2" name="Picture 2"/>
            <wp:cNvGraphicFramePr>
              <a:graphicFrameLocks noChangeAspect="1"/>
            </wp:cNvGraphicFramePr>
            <a:graphic>
              <a:graphicData uri="http://schemas.openxmlformats.org/drawingml/2006/picture">
                <pic:pic>
                  <pic:nvPicPr>
                    <pic:cNvPr id="0" name="02_最终模型系数图.png"/>
                    <pic:cNvPicPr/>
                  </pic:nvPicPr>
                  <pic:blipFill>
                    <a:blip r:embed="rId12"/>
                    <a:stretch>
                      <a:fillRect/>
                    </a:stretch>
                  </pic:blipFill>
                  <pic:spPr>
                    <a:xfrm>
                      <a:off x="0" y="0"/>
                      <a:ext cx="5760720" cy="3131428"/>
                    </a:xfrm>
                    <a:prstGeom prst="rect"/>
                  </pic:spPr>
                </pic:pic>
              </a:graphicData>
            </a:graphic>
          </wp:inline>
        </w:drawing>
      </w:r>
    </w:p>
    <w:p>
      <w:pPr>
        <w:jc w:val="center"/>
      </w:pPr>
      <w:r>
        <w:rPr>
          <w:rFonts w:ascii="Calibri" w:hAnsi="Calibri" w:eastAsia="Microsoft YaHei"/>
          <w:i/>
          <w:color w:val="5C6773"/>
          <w:sz w:val="18"/>
        </w:rPr>
        <w:t>图2 首选模型系数与95%置信区间</w:t>
      </w:r>
    </w:p>
    <w:p>
      <w:pPr>
        <w:spacing w:before="0" w:after="160" w:line="320" w:lineRule="auto"/>
        <w:jc w:val="both"/>
      </w:pPr>
      <w:r>
        <w:rPr>
          <w:rFonts w:ascii="Calibri" w:hAnsi="Calibri" w:eastAsia="Microsoft YaHei"/>
          <w:b w:val="0"/>
          <w:i w:val="0"/>
          <w:color w:val="1F2933"/>
          <w:sz w:val="22"/>
        </w:rPr>
        <w:t>从年份固定效应升级到事件日固定效应与双向聚类后，负向系数的显著性减弱，说明同日共同冲击和误差相关是实质问题。KOSPI与KOSDAQ子样本方向均为负但均不显著，市场交互项的联合检验原始p=0.027，却没有在多重检验后形成可确认的市场差异。全量并发公告审计进一步显示，剔除高相关公告后p=0.192，剔除同日其他公告后p=0.523，负向点估计保留但精度和稳健性不足。</w:t>
      </w:r>
    </w:p>
    <w:p>
      <w:pPr>
        <w:spacing w:before="0" w:after="160" w:line="320" w:lineRule="auto"/>
        <w:jc w:val="both"/>
      </w:pPr>
      <w:r>
        <w:rPr>
          <w:rFonts w:ascii="Calibri" w:hAnsi="Calibri" w:eastAsia="Microsoft YaHei"/>
          <w:b w:val="0"/>
          <w:i w:val="0"/>
          <w:color w:val="1F2933"/>
          <w:sz w:val="22"/>
        </w:rPr>
        <w:t>经济含义上，数字化战略提高1个标准差与三日CAR低约0.269个百分点相关。韩国市场中年报披露集中、企业集团关系、数字项目投资规模与兑现周期可能使投资者把更强数字行动同时视为机会和执行风险。由于安慰剂失败，这一解释只能作为与数据一致的机制，而不是已证明原因。</w:t>
      </w:r>
    </w:p>
    <w:p>
      <w:pPr>
        <w:pStyle w:val="Heading1"/>
      </w:pPr>
      <w:r>
        <w:t>8. 事件窗内并发公告审计</w:t>
      </w:r>
    </w:p>
    <w:p>
      <w:pPr>
        <w:spacing w:before="0" w:after="160" w:line="320" w:lineRule="auto"/>
        <w:jc w:val="both"/>
      </w:pPr>
      <w:r>
        <w:rPr>
          <w:rFonts w:ascii="Calibri" w:hAnsi="Calibri" w:eastAsia="Microsoft YaHei"/>
          <w:b w:val="0"/>
          <w:i w:val="0"/>
          <w:color w:val="1F2933"/>
          <w:sz w:val="22"/>
        </w:rPr>
        <w:t>本审计不是单纯文字叙述，而是对事件研究识别的可观测混杂检验。程序按年报披露交易日至后两个交易日，对KOSPI和KOSDAQ历史公告页进行6,274个日期×市场查询并逐页抓取，再用DART corp_code匹配样本企业。目标年报rcept_no本身被排除，其他修订年报、业绩、融资、治理、审计、诉讼和公平披露均保留。</w:t>
      </w:r>
    </w:p>
    <w:tbl>
      <w:tblPr>
        <w:tblW w:type="dxa" w:w="9360"/>
        <w:jc w:val="left"/>
        <w:tblLayout w:type="fixed"/>
        <w:tblLook w:firstColumn="1" w:firstRow="1" w:lastColumn="0" w:lastRow="0" w:noHBand="0" w:noVBand="1" w:val="04A0"/>
        <w:tblInd w:w="120" w:type="dxa"/>
        <w:tblBorders>
          <w:top w:val="single" w:sz="4" w:space="0" w:color="D6DEE6"/>
          <w:left w:val="single" w:sz="4" w:space="0" w:color="D6DEE6"/>
          <w:bottom w:val="single" w:sz="4" w:space="0" w:color="D6DEE6"/>
          <w:right w:val="single" w:sz="4" w:space="0" w:color="D6DEE6"/>
          <w:insideH w:val="single" w:sz="4" w:space="0" w:color="D6DEE6"/>
          <w:insideV w:val="single" w:sz="4" w:space="0" w:color="D6DEE6"/>
        </w:tblBorders>
      </w:tblPr>
      <w:tblGrid>
        <w:gridCol w:w="4800"/>
        <w:gridCol w:w="4560"/>
      </w:tblGrid>
      <w:tr>
        <w:trPr>
          <w:cantSplit/>
        </w:trPr>
        <w:tc>
          <w:tcPr>
            <w:tcW w:type="dxa" w:w="4800"/>
            <w:shd w:fill="1F4D78"/>
            <w:vAlign w:val="center"/>
            <w:tcMar>
              <w:top w:w="80" w:type="dxa"/>
              <w:start w:w="120" w:type="dxa"/>
              <w:bottom w:w="80" w:type="dxa"/>
              <w:end w:w="120" w:type="dxa"/>
            </w:tcMar>
          </w:tcPr>
          <w:p>
            <w:pPr>
              <w:spacing w:after="0"/>
              <w:jc w:val="center"/>
            </w:pPr>
            <w:r>
              <w:rPr>
                <w:rFonts w:ascii="Calibri" w:hAnsi="Calibri" w:eastAsia="Microsoft YaHei"/>
                <w:b/>
                <w:color w:val="FFFFFF"/>
                <w:sz w:val="19"/>
              </w:rPr>
              <w:t>指标</w:t>
            </w:r>
          </w:p>
        </w:tc>
        <w:tc>
          <w:tcPr>
            <w:tcW w:type="dxa" w:w="4560"/>
            <w:shd w:fill="1F4D78"/>
            <w:vAlign w:val="center"/>
            <w:tcMar>
              <w:top w:w="80" w:type="dxa"/>
              <w:start w:w="120" w:type="dxa"/>
              <w:bottom w:w="80" w:type="dxa"/>
              <w:end w:w="120" w:type="dxa"/>
            </w:tcMar>
          </w:tcPr>
          <w:p>
            <w:pPr>
              <w:spacing w:after="0"/>
              <w:jc w:val="center"/>
            </w:pPr>
            <w:r>
              <w:rPr>
                <w:rFonts w:ascii="Calibri" w:hAnsi="Calibri" w:eastAsia="Microsoft YaHei"/>
                <w:b/>
                <w:color w:val="FFFFFF"/>
                <w:sz w:val="19"/>
              </w:rPr>
              <w:t>结果</w:t>
            </w:r>
          </w:p>
        </w:tc>
      </w:tr>
      <w:tr>
        <w:trPr>
          <w:cantSplit/>
        </w:trPr>
        <w:tc>
          <w:tcPr>
            <w:tcW w:type="dxa" w:w="4800"/>
            <w:vAlign w:val="center"/>
            <w:tcMar>
              <w:top w:w="80" w:type="dxa"/>
              <w:start w:w="120" w:type="dxa"/>
              <w:bottom w:w="80" w:type="dxa"/>
              <w:end w:w="120" w:type="dxa"/>
            </w:tcMar>
          </w:tcPr>
          <w:p>
            <w:pPr>
              <w:spacing w:after="0" w:line="252" w:lineRule="auto"/>
            </w:pPr>
            <w:r>
              <w:rPr>
                <w:rFonts w:ascii="Calibri" w:hAnsi="Calibri" w:eastAsia="Microsoft YaHei"/>
                <w:color w:val="1F2933"/>
                <w:sz w:val="19"/>
              </w:rPr>
              <w:t>目标年报收件号覆盖率</w:t>
            </w:r>
          </w:p>
        </w:tc>
        <w:tc>
          <w:tcPr>
            <w:tcW w:type="dxa" w:w="4560"/>
            <w:vAlign w:val="center"/>
            <w:tcMar>
              <w:top w:w="80" w:type="dxa"/>
              <w:start w:w="120" w:type="dxa"/>
              <w:bottom w:w="80" w:type="dxa"/>
              <w:end w:w="120" w:type="dxa"/>
            </w:tcMar>
          </w:tcPr>
          <w:p>
            <w:pPr>
              <w:spacing w:after="0" w:line="252" w:lineRule="auto"/>
            </w:pPr>
            <w:r>
              <w:rPr>
                <w:rFonts w:ascii="Calibri" w:hAnsi="Calibri" w:eastAsia="Microsoft YaHei"/>
                <w:color w:val="1F2933"/>
                <w:sz w:val="19"/>
              </w:rPr>
              <w:t>95.88%</w:t>
            </w:r>
          </w:p>
        </w:tc>
      </w:tr>
      <w:tr>
        <w:trPr>
          <w:cantSplit/>
        </w:trPr>
        <w:tc>
          <w:tcPr>
            <w:tcW w:type="dxa" w:w="4800"/>
            <w:shd w:fill="F4F6F9"/>
            <w:vAlign w:val="center"/>
            <w:tcMar>
              <w:top w:w="80" w:type="dxa"/>
              <w:start w:w="120" w:type="dxa"/>
              <w:bottom w:w="80" w:type="dxa"/>
              <w:end w:w="120" w:type="dxa"/>
            </w:tcMar>
          </w:tcPr>
          <w:p>
            <w:pPr>
              <w:spacing w:after="0" w:line="252" w:lineRule="auto"/>
            </w:pPr>
            <w:r>
              <w:rPr>
                <w:rFonts w:ascii="Calibri" w:hAnsi="Calibri" w:eastAsia="Microsoft YaHei"/>
                <w:color w:val="1F2933"/>
                <w:sz w:val="19"/>
              </w:rPr>
              <w:t>存在任何并发公告</w:t>
            </w:r>
          </w:p>
        </w:tc>
        <w:tc>
          <w:tcPr>
            <w:tcW w:type="dxa" w:w="4560"/>
            <w:shd w:fill="F4F6F9"/>
            <w:vAlign w:val="center"/>
            <w:tcMar>
              <w:top w:w="80" w:type="dxa"/>
              <w:start w:w="120" w:type="dxa"/>
              <w:bottom w:w="80" w:type="dxa"/>
              <w:end w:w="120" w:type="dxa"/>
            </w:tcMar>
          </w:tcPr>
          <w:p>
            <w:pPr>
              <w:spacing w:after="0" w:line="252" w:lineRule="auto"/>
            </w:pPr>
            <w:r>
              <w:rPr>
                <w:rFonts w:ascii="Calibri" w:hAnsi="Calibri" w:eastAsia="Microsoft YaHei"/>
                <w:color w:val="1F2933"/>
                <w:sz w:val="19"/>
              </w:rPr>
              <w:t>14,452 (64.75%)</w:t>
            </w:r>
          </w:p>
        </w:tc>
      </w:tr>
      <w:tr>
        <w:trPr>
          <w:cantSplit/>
        </w:trPr>
        <w:tc>
          <w:tcPr>
            <w:tcW w:type="dxa" w:w="4800"/>
            <w:vAlign w:val="center"/>
            <w:tcMar>
              <w:top w:w="80" w:type="dxa"/>
              <w:start w:w="120" w:type="dxa"/>
              <w:bottom w:w="80" w:type="dxa"/>
              <w:end w:w="120" w:type="dxa"/>
            </w:tcMar>
          </w:tcPr>
          <w:p>
            <w:pPr>
              <w:spacing w:after="0" w:line="252" w:lineRule="auto"/>
            </w:pPr>
            <w:r>
              <w:rPr>
                <w:rFonts w:ascii="Calibri" w:hAnsi="Calibri" w:eastAsia="Microsoft YaHei"/>
                <w:color w:val="1F2933"/>
                <w:sz w:val="19"/>
              </w:rPr>
              <w:t>高相关并发公告</w:t>
            </w:r>
          </w:p>
        </w:tc>
        <w:tc>
          <w:tcPr>
            <w:tcW w:type="dxa" w:w="4560"/>
            <w:vAlign w:val="center"/>
            <w:tcMar>
              <w:top w:w="80" w:type="dxa"/>
              <w:start w:w="120" w:type="dxa"/>
              <w:bottom w:w="80" w:type="dxa"/>
              <w:end w:w="120" w:type="dxa"/>
            </w:tcMar>
          </w:tcPr>
          <w:p>
            <w:pPr>
              <w:spacing w:after="0" w:line="252" w:lineRule="auto"/>
            </w:pPr>
            <w:r>
              <w:rPr>
                <w:rFonts w:ascii="Calibri" w:hAnsi="Calibri" w:eastAsia="Microsoft YaHei"/>
                <w:color w:val="1F2933"/>
                <w:sz w:val="19"/>
              </w:rPr>
              <w:t>10,743 (48.13%)</w:t>
            </w:r>
          </w:p>
        </w:tc>
      </w:tr>
      <w:tr>
        <w:trPr>
          <w:cantSplit/>
        </w:trPr>
        <w:tc>
          <w:tcPr>
            <w:tcW w:type="dxa" w:w="4800"/>
            <w:shd w:fill="F4F6F9"/>
            <w:vAlign w:val="center"/>
            <w:tcMar>
              <w:top w:w="80" w:type="dxa"/>
              <w:start w:w="120" w:type="dxa"/>
              <w:bottom w:w="80" w:type="dxa"/>
              <w:end w:w="120" w:type="dxa"/>
            </w:tcMar>
          </w:tcPr>
          <w:p>
            <w:pPr>
              <w:spacing w:after="0" w:line="252" w:lineRule="auto"/>
            </w:pPr>
            <w:r>
              <w:rPr>
                <w:rFonts w:ascii="Calibri" w:hAnsi="Calibri" w:eastAsia="Microsoft YaHei"/>
                <w:color w:val="1F2933"/>
                <w:sz w:val="19"/>
              </w:rPr>
              <w:t>同日并发公告</w:t>
            </w:r>
          </w:p>
        </w:tc>
        <w:tc>
          <w:tcPr>
            <w:tcW w:type="dxa" w:w="4560"/>
            <w:shd w:fill="F4F6F9"/>
            <w:vAlign w:val="center"/>
            <w:tcMar>
              <w:top w:w="80" w:type="dxa"/>
              <w:start w:w="120" w:type="dxa"/>
              <w:bottom w:w="80" w:type="dxa"/>
              <w:end w:w="120" w:type="dxa"/>
            </w:tcMar>
          </w:tcPr>
          <w:p>
            <w:pPr>
              <w:spacing w:after="0" w:line="252" w:lineRule="auto"/>
            </w:pPr>
            <w:r>
              <w:rPr>
                <w:rFonts w:ascii="Calibri" w:hAnsi="Calibri" w:eastAsia="Microsoft YaHei"/>
                <w:color w:val="1F2933"/>
                <w:sz w:val="19"/>
              </w:rPr>
              <w:t>13,752 (61.62%)</w:t>
            </w:r>
          </w:p>
        </w:tc>
      </w:tr>
      <w:tr>
        <w:trPr>
          <w:cantSplit/>
        </w:trPr>
        <w:tc>
          <w:tcPr>
            <w:tcW w:type="dxa" w:w="4800"/>
            <w:vAlign w:val="center"/>
            <w:tcMar>
              <w:top w:w="80" w:type="dxa"/>
              <w:start w:w="120" w:type="dxa"/>
              <w:bottom w:w="80" w:type="dxa"/>
              <w:end w:w="120" w:type="dxa"/>
            </w:tcMar>
          </w:tcPr>
          <w:p>
            <w:pPr>
              <w:spacing w:after="0" w:line="252" w:lineRule="auto"/>
            </w:pPr>
            <w:r>
              <w:rPr>
                <w:rFonts w:ascii="Calibri" w:hAnsi="Calibri" w:eastAsia="Microsoft YaHei"/>
                <w:color w:val="1F2933"/>
                <w:sz w:val="19"/>
              </w:rPr>
              <w:t>匹配的独立公告</w:t>
            </w:r>
          </w:p>
        </w:tc>
        <w:tc>
          <w:tcPr>
            <w:tcW w:type="dxa" w:w="4560"/>
            <w:vAlign w:val="center"/>
            <w:tcMar>
              <w:top w:w="80" w:type="dxa"/>
              <w:start w:w="120" w:type="dxa"/>
              <w:bottom w:w="80" w:type="dxa"/>
              <w:end w:w="120" w:type="dxa"/>
            </w:tcMar>
          </w:tcPr>
          <w:p>
            <w:pPr>
              <w:spacing w:after="0" w:line="252" w:lineRule="auto"/>
            </w:pPr>
            <w:r>
              <w:rPr>
                <w:rFonts w:ascii="Calibri" w:hAnsi="Calibri" w:eastAsia="Microsoft YaHei"/>
                <w:color w:val="1F2933"/>
                <w:sz w:val="19"/>
              </w:rPr>
              <w:t>24,729</w:t>
            </w:r>
          </w:p>
        </w:tc>
      </w:tr>
    </w:tbl>
    <w:p>
      <w:pPr>
        <w:spacing w:after="20"/>
      </w:pPr>
    </w:p>
    <w:tbl>
      <w:tblPr>
        <w:tblW w:type="dxa" w:w="9360"/>
        <w:jc w:val="left"/>
        <w:tblLayout w:type="fixed"/>
        <w:tblLook w:firstColumn="1" w:firstRow="1" w:lastColumn="0" w:lastRow="0" w:noHBand="0" w:noVBand="1" w:val="04A0"/>
        <w:tblInd w:w="120" w:type="dxa"/>
        <w:tblBorders>
          <w:top w:val="single" w:sz="4" w:space="0" w:color="D6DEE6"/>
          <w:left w:val="single" w:sz="4" w:space="0" w:color="D6DEE6"/>
          <w:bottom w:val="single" w:sz="4" w:space="0" w:color="D6DEE6"/>
          <w:right w:val="single" w:sz="4" w:space="0" w:color="D6DEE6"/>
          <w:insideH w:val="single" w:sz="4" w:space="0" w:color="D6DEE6"/>
          <w:insideV w:val="single" w:sz="4" w:space="0" w:color="D6DEE6"/>
        </w:tblBorders>
      </w:tblPr>
      <w:tblGrid>
        <w:gridCol w:w="3500"/>
        <w:gridCol w:w="1200"/>
        <w:gridCol w:w="1200"/>
        <w:gridCol w:w="1000"/>
        <w:gridCol w:w="1000"/>
        <w:gridCol w:w="1460"/>
      </w:tblGrid>
      <w:tr>
        <w:trPr>
          <w:cantSplit/>
        </w:trPr>
        <w:tc>
          <w:tcPr>
            <w:tcW w:type="dxa" w:w="3500"/>
            <w:shd w:fill="1F4D78"/>
            <w:vAlign w:val="center"/>
            <w:tcMar>
              <w:top w:w="80" w:type="dxa"/>
              <w:start w:w="120" w:type="dxa"/>
              <w:bottom w:w="80" w:type="dxa"/>
              <w:end w:w="120" w:type="dxa"/>
            </w:tcMar>
          </w:tcPr>
          <w:p>
            <w:pPr>
              <w:spacing w:after="0"/>
              <w:jc w:val="center"/>
            </w:pPr>
            <w:r>
              <w:rPr>
                <w:rFonts w:ascii="Calibri" w:hAnsi="Calibri" w:eastAsia="Microsoft YaHei"/>
                <w:b/>
                <w:color w:val="FFFFFF"/>
                <w:sz w:val="17"/>
              </w:rPr>
              <w:t>样本</w:t>
            </w:r>
          </w:p>
        </w:tc>
        <w:tc>
          <w:tcPr>
            <w:tcW w:type="dxa" w:w="1200"/>
            <w:shd w:fill="1F4D78"/>
            <w:vAlign w:val="center"/>
            <w:tcMar>
              <w:top w:w="80" w:type="dxa"/>
              <w:start w:w="120" w:type="dxa"/>
              <w:bottom w:w="80" w:type="dxa"/>
              <w:end w:w="120" w:type="dxa"/>
            </w:tcMar>
          </w:tcPr>
          <w:p>
            <w:pPr>
              <w:spacing w:after="0"/>
              <w:jc w:val="center"/>
            </w:pPr>
            <w:r>
              <w:rPr>
                <w:rFonts w:ascii="Calibri" w:hAnsi="Calibri" w:eastAsia="Microsoft YaHei"/>
                <w:b/>
                <w:color w:val="FFFFFF"/>
                <w:sz w:val="17"/>
              </w:rPr>
              <w:t>系数</w:t>
            </w:r>
          </w:p>
        </w:tc>
        <w:tc>
          <w:tcPr>
            <w:tcW w:type="dxa" w:w="1200"/>
            <w:shd w:fill="1F4D78"/>
            <w:vAlign w:val="center"/>
            <w:tcMar>
              <w:top w:w="80" w:type="dxa"/>
              <w:start w:w="120" w:type="dxa"/>
              <w:bottom w:w="80" w:type="dxa"/>
              <w:end w:w="120" w:type="dxa"/>
            </w:tcMar>
          </w:tcPr>
          <w:p>
            <w:pPr>
              <w:spacing w:after="0"/>
              <w:jc w:val="center"/>
            </w:pPr>
            <w:r>
              <w:rPr>
                <w:rFonts w:ascii="Calibri" w:hAnsi="Calibri" w:eastAsia="Microsoft YaHei"/>
                <w:b/>
                <w:color w:val="FFFFFF"/>
                <w:sz w:val="17"/>
              </w:rPr>
              <w:t>标准误</w:t>
            </w:r>
          </w:p>
        </w:tc>
        <w:tc>
          <w:tcPr>
            <w:tcW w:type="dxa" w:w="1000"/>
            <w:shd w:fill="1F4D78"/>
            <w:vAlign w:val="center"/>
            <w:tcMar>
              <w:top w:w="80" w:type="dxa"/>
              <w:start w:w="120" w:type="dxa"/>
              <w:bottom w:w="80" w:type="dxa"/>
              <w:end w:w="120" w:type="dxa"/>
            </w:tcMar>
          </w:tcPr>
          <w:p>
            <w:pPr>
              <w:spacing w:after="0"/>
              <w:jc w:val="center"/>
            </w:pPr>
            <w:r>
              <w:rPr>
                <w:rFonts w:ascii="Calibri" w:hAnsi="Calibri" w:eastAsia="Microsoft YaHei"/>
                <w:b/>
                <w:color w:val="FFFFFF"/>
                <w:sz w:val="17"/>
              </w:rPr>
              <w:t>p值</w:t>
            </w:r>
          </w:p>
        </w:tc>
        <w:tc>
          <w:tcPr>
            <w:tcW w:type="dxa" w:w="1000"/>
            <w:shd w:fill="1F4D78"/>
            <w:vAlign w:val="center"/>
            <w:tcMar>
              <w:top w:w="80" w:type="dxa"/>
              <w:start w:w="120" w:type="dxa"/>
              <w:bottom w:w="80" w:type="dxa"/>
              <w:end w:w="120" w:type="dxa"/>
            </w:tcMar>
          </w:tcPr>
          <w:p>
            <w:pPr>
              <w:spacing w:after="0"/>
              <w:jc w:val="center"/>
            </w:pPr>
            <w:r>
              <w:rPr>
                <w:rFonts w:ascii="Calibri" w:hAnsi="Calibri" w:eastAsia="Microsoft YaHei"/>
                <w:b/>
                <w:color w:val="FFFFFF"/>
                <w:sz w:val="17"/>
              </w:rPr>
              <w:t>FDR</w:t>
            </w:r>
          </w:p>
        </w:tc>
        <w:tc>
          <w:tcPr>
            <w:tcW w:type="dxa" w:w="1460"/>
            <w:shd w:fill="1F4D78"/>
            <w:vAlign w:val="center"/>
            <w:tcMar>
              <w:top w:w="80" w:type="dxa"/>
              <w:start w:w="120" w:type="dxa"/>
              <w:bottom w:w="80" w:type="dxa"/>
              <w:end w:w="120" w:type="dxa"/>
            </w:tcMar>
          </w:tcPr>
          <w:p>
            <w:pPr>
              <w:spacing w:after="0"/>
              <w:jc w:val="center"/>
            </w:pPr>
            <w:r>
              <w:rPr>
                <w:rFonts w:ascii="Calibri" w:hAnsi="Calibri" w:eastAsia="Microsoft YaHei"/>
                <w:b/>
                <w:color w:val="FFFFFF"/>
                <w:sz w:val="17"/>
              </w:rPr>
              <w:t>N</w:t>
            </w:r>
          </w:p>
        </w:tc>
      </w:tr>
      <w:tr>
        <w:trPr>
          <w:cantSplit/>
        </w:trPr>
        <w:tc>
          <w:tcPr>
            <w:tcW w:type="dxa" w:w="3500"/>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完整严格对齐事件样本</w:t>
            </w:r>
          </w:p>
        </w:tc>
        <w:tc>
          <w:tcPr>
            <w:tcW w:type="dxa" w:w="1200"/>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-0.002692</w:t>
            </w:r>
          </w:p>
        </w:tc>
        <w:tc>
          <w:tcPr>
            <w:tcW w:type="dxa" w:w="1200"/>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0.001449</w:t>
            </w:r>
          </w:p>
        </w:tc>
        <w:tc>
          <w:tcPr>
            <w:tcW w:type="dxa" w:w="1000"/>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0.063</w:t>
            </w:r>
          </w:p>
        </w:tc>
        <w:tc>
          <w:tcPr>
            <w:tcW w:type="dxa" w:w="1000"/>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0.107</w:t>
            </w:r>
          </w:p>
        </w:tc>
        <w:tc>
          <w:tcPr>
            <w:tcW w:type="dxa" w:w="1460"/>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18,623</w:t>
            </w:r>
          </w:p>
        </w:tc>
      </w:tr>
      <w:tr>
        <w:trPr>
          <w:cantSplit/>
        </w:trPr>
        <w:tc>
          <w:tcPr>
            <w:tcW w:type="dxa" w:w="3500"/>
            <w:shd w:fill="F4F6F9"/>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仅保留目标年报收件号已在DART历史页核验的事件</w:t>
            </w:r>
          </w:p>
        </w:tc>
        <w:tc>
          <w:tcPr>
            <w:tcW w:type="dxa" w:w="1200"/>
            <w:shd w:fill="F4F6F9"/>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-0.002800</w:t>
            </w:r>
          </w:p>
        </w:tc>
        <w:tc>
          <w:tcPr>
            <w:tcW w:type="dxa" w:w="1200"/>
            <w:shd w:fill="F4F6F9"/>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0.001513</w:t>
            </w:r>
          </w:p>
        </w:tc>
        <w:tc>
          <w:tcPr>
            <w:tcW w:type="dxa" w:w="1000"/>
            <w:shd w:fill="F4F6F9"/>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0.064</w:t>
            </w:r>
          </w:p>
        </w:tc>
        <w:tc>
          <w:tcPr>
            <w:tcW w:type="dxa" w:w="1000"/>
            <w:shd w:fill="F4F6F9"/>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0.107</w:t>
            </w:r>
          </w:p>
        </w:tc>
        <w:tc>
          <w:tcPr>
            <w:tcW w:type="dxa" w:w="1460"/>
            <w:shd w:fill="F4F6F9"/>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17,937</w:t>
            </w:r>
          </w:p>
        </w:tc>
      </w:tr>
      <w:tr>
        <w:trPr>
          <w:cantSplit/>
        </w:trPr>
        <w:tc>
          <w:tcPr>
            <w:tcW w:type="dxa" w:w="3500"/>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覆盖已核验且剔除事件窗内任何其他DART公告</w:t>
            </w:r>
          </w:p>
        </w:tc>
        <w:tc>
          <w:tcPr>
            <w:tcW w:type="dxa" w:w="1200"/>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-0.005756</w:t>
            </w:r>
          </w:p>
        </w:tc>
        <w:tc>
          <w:tcPr>
            <w:tcW w:type="dxa" w:w="1200"/>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0.003093</w:t>
            </w:r>
          </w:p>
        </w:tc>
        <w:tc>
          <w:tcPr>
            <w:tcW w:type="dxa" w:w="1000"/>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0.063</w:t>
            </w:r>
          </w:p>
        </w:tc>
        <w:tc>
          <w:tcPr>
            <w:tcW w:type="dxa" w:w="1000"/>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0.107</w:t>
            </w:r>
          </w:p>
        </w:tc>
        <w:tc>
          <w:tcPr>
            <w:tcW w:type="dxa" w:w="1460"/>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5,620</w:t>
            </w:r>
          </w:p>
        </w:tc>
      </w:tr>
      <w:tr>
        <w:trPr>
          <w:cantSplit/>
        </w:trPr>
        <w:tc>
          <w:tcPr>
            <w:tcW w:type="dxa" w:w="3500"/>
            <w:shd w:fill="F4F6F9"/>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覆盖已核验且剔除事件窗内高相关公告</w:t>
            </w:r>
          </w:p>
        </w:tc>
        <w:tc>
          <w:tcPr>
            <w:tcW w:type="dxa" w:w="1200"/>
            <w:shd w:fill="F4F6F9"/>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-0.003500</w:t>
            </w:r>
          </w:p>
        </w:tc>
        <w:tc>
          <w:tcPr>
            <w:tcW w:type="dxa" w:w="1200"/>
            <w:shd w:fill="F4F6F9"/>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0.002682</w:t>
            </w:r>
          </w:p>
        </w:tc>
        <w:tc>
          <w:tcPr>
            <w:tcW w:type="dxa" w:w="1000"/>
            <w:shd w:fill="F4F6F9"/>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0.192</w:t>
            </w:r>
          </w:p>
        </w:tc>
        <w:tc>
          <w:tcPr>
            <w:tcW w:type="dxa" w:w="1000"/>
            <w:shd w:fill="F4F6F9"/>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0.240</w:t>
            </w:r>
          </w:p>
        </w:tc>
        <w:tc>
          <w:tcPr>
            <w:tcW w:type="dxa" w:w="1460"/>
            <w:shd w:fill="F4F6F9"/>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8,399</w:t>
            </w:r>
          </w:p>
        </w:tc>
      </w:tr>
      <w:tr>
        <w:trPr>
          <w:cantSplit/>
        </w:trPr>
        <w:tc>
          <w:tcPr>
            <w:tcW w:type="dxa" w:w="3500"/>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覆盖已核验且剔除事件日同日公告</w:t>
            </w:r>
          </w:p>
        </w:tc>
        <w:tc>
          <w:tcPr>
            <w:tcW w:type="dxa" w:w="1200"/>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-0.002454</w:t>
            </w:r>
          </w:p>
        </w:tc>
        <w:tc>
          <w:tcPr>
            <w:tcW w:type="dxa" w:w="1200"/>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0.003844</w:t>
            </w:r>
          </w:p>
        </w:tc>
        <w:tc>
          <w:tcPr>
            <w:tcW w:type="dxa" w:w="1000"/>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0.523</w:t>
            </w:r>
          </w:p>
        </w:tc>
        <w:tc>
          <w:tcPr>
            <w:tcW w:type="dxa" w:w="1000"/>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0.523</w:t>
            </w:r>
          </w:p>
        </w:tc>
        <w:tc>
          <w:tcPr>
            <w:tcW w:type="dxa" w:w="1460"/>
            <w:vAlign w:val="center"/>
            <w:tcMar>
              <w:top w:w="80" w:type="dxa"/>
              <w:start w:w="120" w:type="dxa"/>
              <w:bottom w:w="80" w:type="dxa"/>
              <w:end w:w="120" w:type="dxa"/>
            </w:tcMar>
          </w:tcPr>
          <w:p>
            <w:pPr>
              <w:spacing w:after="0" w:line="252" w:lineRule="auto"/>
            </w:pPr>
            <w:r>
              <w:rPr>
                <w:rFonts w:ascii="Calibri" w:hAnsi="Calibri" w:eastAsia="Microsoft YaHei"/>
                <w:color w:val="1F2933"/>
                <w:sz w:val="17"/>
              </w:rPr>
              <w:t>6,169</w:t>
            </w:r>
          </w:p>
        </w:tc>
      </w:tr>
    </w:tbl>
    <w:p>
      <w:pPr>
        <w:spacing w:after="20"/>
      </w:pPr>
    </w:p>
    <w:p>
      <w:pPr>
        <w:spacing w:before="0" w:after="160" w:line="320" w:lineRule="auto"/>
        <w:jc w:val="both"/>
      </w:pPr>
      <w:r>
        <w:rPr>
          <w:rFonts w:ascii="Calibri" w:hAnsi="Calibri" w:eastAsia="Microsoft YaHei"/>
          <w:b w:val="0"/>
          <w:i w:val="0"/>
          <w:color w:val="1F2933"/>
          <w:sz w:val="22"/>
        </w:rPr>
        <w:t>正式判断以剔除任何并发公告、剔除高相关公告和剔除同日公告后系数的方向、幅度和置信区间是否保持为准，而不是只观察某一列是否跨过0.05。并发公告审计降低了把其他重大信息错误归因于数字战略文本的风险，但无法排除媒体报道、分析师活动或报告之外的信息。</w:t>
      </w:r>
    </w:p>
    <w:p>
      <w:pPr>
        <w:pStyle w:val="Heading1"/>
      </w:pPr>
      <w:r>
        <w:t>9. 非线性、机制与稳健性</w:t>
      </w:r>
    </w:p>
    <w:p>
      <w:pPr>
        <w:spacing w:before="0" w:after="160" w:line="320" w:lineRule="auto"/>
        <w:jc w:val="both"/>
      </w:pPr>
      <w:r>
        <w:rPr>
          <w:rFonts w:ascii="Calibri" w:hAnsi="Calibri" w:eastAsia="Microsoft YaHei"/>
          <w:b w:val="0"/>
          <w:i w:val="0"/>
          <w:color w:val="1F2933"/>
          <w:sz w:val="22"/>
        </w:rPr>
        <w:t>经营路径的两部分、分位组、分布滞后、内部成分和正值样本三次项联合检验均未支持稳定的非线性或机制关系；相关联合检验p值最低仍高于0.20。资本市场的市场交互联合检验原始p=0.027，但分市场边际效应均不显著，且整个CAR模型族FDR不支持确认性结论。</w:t>
      </w:r>
    </w:p>
    <w:p>
      <w:pPr>
        <w:spacing w:before="0" w:after="160" w:line="320" w:lineRule="auto"/>
        <w:jc w:val="both"/>
      </w:pPr>
      <w:r>
        <w:rPr>
          <w:rFonts w:ascii="Calibri" w:hAnsi="Calibri" w:eastAsia="Microsoft YaHei"/>
          <w:b w:val="0"/>
          <w:i w:val="0"/>
          <w:color w:val="1F2933"/>
          <w:sz w:val="22"/>
        </w:rPr>
        <w:t>共线性不是主要障碍：核心、扩展与治理控制的最大VIF约为2.64、3.17和3.32。更大的问题是扩展控制缺失导致样本锐减、数字指标高持久性和零值集中。未来一年数字化水平显著预测当前CAR（p=0.0035），而未来变化量不显著，提示稳定公司特征、披露风格或残余时间错配仍在驱动水平结果。</w:t>
      </w:r>
    </w:p>
    <w:p>
      <w:pPr>
        <w:pStyle w:val="Heading1"/>
      </w:pPr>
      <w:r>
        <w:t>10. 原因解释：为何严格模型不显著</w:t>
      </w:r>
    </w:p>
    <w:p>
      <w:pPr>
        <w:pStyle w:val="Heading2"/>
      </w:pPr>
      <w:r>
        <w:t>10.1 这种结果究竟说明什么</w:t>
      </w:r>
    </w:p>
    <w:p>
      <w:pPr>
        <w:spacing w:before="0" w:after="160" w:line="320" w:lineRule="auto"/>
        <w:jc w:val="both"/>
      </w:pPr>
      <w:r>
        <w:rPr>
          <w:rFonts w:ascii="Calibri" w:hAnsi="Calibri" w:eastAsia="Microsoft YaHei"/>
          <w:b w:val="0"/>
          <w:i w:val="0"/>
          <w:color w:val="1F2933"/>
          <w:sz w:val="22"/>
        </w:rPr>
        <w:t>本研究估计的不是‘数字化是否有用’这一宽泛命题，而是同一家公司年报中实质数字行动披露相对自身历史水平的变化，在扣除公司固定特征、年度共同冲击和一组财务状态后，能否稳定预测下一年度经营结果或披露日附近的异常收益。因此，不显著的准确含义是：年报披露强度没有表现出稳定的短期增量预测力，而不是企业数字化的真实经济价值等于零。</w:t>
      </w:r>
    </w:p>
    <w:p>
      <w:pPr>
        <w:spacing w:before="0" w:after="160" w:line="320" w:lineRule="auto"/>
        <w:jc w:val="both"/>
      </w:pPr>
      <w:r>
        <w:rPr>
          <w:rFonts w:ascii="Calibri" w:hAnsi="Calibri" w:eastAsia="Microsoft YaHei"/>
          <w:b w:val="0"/>
          <w:i w:val="0"/>
          <w:color w:val="1F2933"/>
          <w:sz w:val="22"/>
        </w:rPr>
        <w:t>这一结果更接近‘战略存量与年度流量不匹配’。数字基础设施、数据治理、流程再造和商业模式迁移通常跨越多个年度，但年度文本指标记录的是某一报告期内可观察到的披露变化。数字指标在公司内高度持续且51.56%的公司年度为零，使公司固定效应模型主要依赖较少的年度内变动；如果真实价值来自长期累积、跨部门整合或少数高质量项目，平均短期系数自然可能接近零。</w:t>
      </w:r>
    </w:p>
    <w:p>
      <w:pPr>
        <w:spacing w:before="0" w:after="160" w:line="320" w:lineRule="auto"/>
        <w:jc w:val="both"/>
      </w:pPr>
      <w:r>
        <w:rPr>
          <w:rFonts w:ascii="Calibri" w:hAnsi="Calibri" w:eastAsia="Microsoft YaHei"/>
          <w:b w:val="0"/>
          <w:i w:val="0"/>
          <w:color w:val="1F2933"/>
          <w:sz w:val="22"/>
        </w:rPr>
        <w:t>双轮驱动也未必同步。内部路径可能先出现投资、培训、系统迁移和组织摩擦，随后才形成效率或收入；外部路径则可能同时包含增长机会与实施风险。因而‘内部短期不显著、外部弱负向’与延迟兑现和信号含义不确定相一致，但由于安慰剂和多重检验没有通过，这只能作为机制解释，不能写成已经证实的原因。</w:t>
      </w:r>
    </w:p>
    <w:p>
      <w:pPr>
        <w:pStyle w:val="Heading2"/>
      </w:pPr>
      <w:r>
        <w:t>10.2 韩国市场与政策环境为何可能放大这种现象</w:t>
      </w:r>
    </w:p>
    <w:p>
      <w:pPr>
        <w:spacing w:before="0" w:after="160" w:line="320" w:lineRule="auto"/>
        <w:jc w:val="both"/>
      </w:pPr>
      <w:r>
        <w:rPr>
          <w:rFonts w:ascii="Calibri" w:hAnsi="Calibri" w:eastAsia="Microsoft YaHei"/>
          <w:b w:val="0"/>
          <w:i w:val="0"/>
          <w:color w:val="1F2933"/>
          <w:sz w:val="22"/>
        </w:rPr>
        <w:t>第一，年报是低频、集中且信息捆绑的披露载体。韩国DART规定事业报告原则上在财年结束后90日内提交，大量12月结账公司由此集中在次年3月附近披露。数字战略信息可能已通过业绩预告、IR材料、新闻或项目公告被市场提前吸收；正式年报事件日又同时包含财务、审计、治理和修订信息。本研究发现64.75%的事件窗存在其他DART公告，使用精确事件日固定效应并剔除并发公告后显著性进一步减弱，说明三日CAR很难被解释为纯粹的数字战略定价。</w:t>
      </w:r>
    </w:p>
    <w:p>
      <w:pPr>
        <w:spacing w:before="0" w:after="160" w:line="320" w:lineRule="auto"/>
        <w:jc w:val="both"/>
      </w:pPr>
      <w:r>
        <w:rPr>
          <w:rFonts w:ascii="Calibri" w:hAnsi="Calibri" w:eastAsia="Microsoft YaHei"/>
          <w:b w:val="0"/>
          <w:i w:val="0"/>
          <w:color w:val="1F2933"/>
          <w:sz w:val="22"/>
        </w:rPr>
        <w:t>第二，韩国资本市场不是简单意义上的‘更差’，而是所有权结构和估值约束不同。OECD《公司治理事实手册2025》显示，韩国上市股权中公司持有比例约27%，高于OECD成员约6%；机构投资者比例约17%，低于OECD成员约58%。结合企业集团控制、关联关系和少数股东保护问题，投资者可能更重视可验证的现金流、资本效率和股东回报，而不是孤立的战略叙述。韩国金融委员会2024年Value-up计划也把ROE、ROIC、估值、治理、沟通和股东回报作为改善‘Korea discount’的核心。这支持一种谨慎推论：没有预算、里程碑和价值兑现路径的数字化语言，其边际定价权可能有限；但本研究没有直接检验投资者结构，因此不能把所有权差异写成已确认的因果机制。</w:t>
      </w:r>
    </w:p>
    <w:p>
      <w:pPr>
        <w:spacing w:before="0" w:after="160" w:line="320" w:lineRule="auto"/>
        <w:jc w:val="both"/>
      </w:pPr>
      <w:r>
        <w:rPr>
          <w:rFonts w:ascii="Calibri" w:hAnsi="Calibri" w:eastAsia="Microsoft YaHei"/>
          <w:b w:val="0"/>
          <w:i w:val="0"/>
          <w:color w:val="1F2933"/>
          <w:sz w:val="22"/>
        </w:rPr>
        <w:t>第三，政策普及可能制造共同趋势而不是清晰处理差异。制造业创新3.0早于样本起点，数字新政在2020年全国实施并与COVID-19重合；这些政策提高全市场数字化讨论和采用概率，却缺少未受影响的国内对照组。年份固定效应和行业×年份相对指标会吸收这种共同上升，这正是避免把宏观热潮误当企业效应所必需的。由此得到的不显著不能解释为政策失败，只能说明当前数据无法把普遍政策背景与企业特有冲击分离。</w:t>
      </w:r>
    </w:p>
    <w:p>
      <w:pPr>
        <w:spacing w:before="0" w:after="160" w:line="320" w:lineRule="auto"/>
        <w:jc w:val="both"/>
      </w:pPr>
      <w:r>
        <w:rPr>
          <w:rFonts w:ascii="Calibri" w:hAnsi="Calibri" w:eastAsia="Microsoft YaHei"/>
          <w:b w:val="0"/>
          <w:i w:val="0"/>
          <w:color w:val="1F2933"/>
          <w:sz w:val="22"/>
        </w:rPr>
        <w:t>第四，韩国智能制造存在明显成熟度和适用范围差异。韩国研究显示，实际智能制造成熟度较高的163家制造业中小企业可能获得更好的财务绩效和运营效率，但效果取决于行业与生产人员结构；另一项韩国研究指出，2019年约75%的智能工厂仍处于基础水平，基础与中间一级合计约95%。因此，针对实际采用程度、制造企业和具体产线的研究可能显著，而覆盖KOSPI与KOSDAQ多行业上市公司的年报文字指标会把高成熟项目、初级采用、服务业平台项目和象征性披露平均在一起，导致平均效应被稀释。</w:t>
      </w:r>
    </w:p>
    <w:p>
      <w:pPr>
        <w:pStyle w:val="Heading2"/>
      </w:pPr>
      <w:r>
        <w:t>10.3 为什么一些既有论文显著，而本研究不显著</w:t>
      </w:r>
    </w:p>
    <w:p>
      <w:pPr>
        <w:spacing w:before="0" w:after="160" w:line="320" w:lineRule="auto"/>
        <w:jc w:val="both"/>
      </w:pPr>
      <w:r>
        <w:rPr>
          <w:rFonts w:ascii="Calibri" w:hAnsi="Calibri" w:eastAsia="Microsoft YaHei"/>
          <w:b w:val="0"/>
          <w:i w:val="0"/>
          <w:color w:val="1F2933"/>
          <w:sz w:val="22"/>
        </w:rPr>
        <w:t>首先，解释变量不同。既有显著研究常使用实际IT资本、系统成熟度、政府受益名单、问卷采用程度或工厂级技术，而本研究使用年报中可观察到的战略行动披露。前者更接近真实处理，后者同时含有实施、选择性披露和语言测量误差。Bloom、Sadun与Van Reenen（2012）发现IT生产率优势主要与管理实践等组织互补资产有关，说明技术本身或技术表述并不足以保证绩效。</w:t>
      </w:r>
    </w:p>
    <w:p>
      <w:pPr>
        <w:spacing w:before="0" w:after="160" w:line="320" w:lineRule="auto"/>
        <w:jc w:val="both"/>
      </w:pPr>
      <w:r>
        <w:rPr>
          <w:rFonts w:ascii="Calibri" w:hAnsi="Calibri" w:eastAsia="Microsoft YaHei"/>
          <w:b w:val="0"/>
          <w:i w:val="0"/>
          <w:color w:val="1F2933"/>
          <w:sz w:val="22"/>
        </w:rPr>
        <w:t>其次，样本、结果变量和时间窗不同。韩国智能工厂论文通常研究制造业中小企业、受支持企业或工厂，结果是生产率、运营效率、采用概率或较长时期的财务变化；本研究覆盖多行业上市公司，检验下一年会计绩效和三日CAR。若收益需要两至五年实现，或只在高成熟制造项目中出现，一年平均效应和短事件窗都会偏弱。</w:t>
      </w:r>
    </w:p>
    <w:p>
      <w:pPr>
        <w:spacing w:before="0" w:after="160" w:line="320" w:lineRule="auto"/>
        <w:jc w:val="both"/>
      </w:pPr>
      <w:r>
        <w:rPr>
          <w:rFonts w:ascii="Calibri" w:hAnsi="Calibri" w:eastAsia="Microsoft YaHei"/>
          <w:b w:val="0"/>
          <w:i w:val="0"/>
          <w:color w:val="1F2933"/>
          <w:sz w:val="22"/>
        </w:rPr>
        <w:t>再次，识别强度不同。本研究加入公司固定效应、年份或精确事件日固定效应、公司或双向聚类标准误、缩尾、逐年剔除、并发公告排除、安慰剂和FDR校正。较简单的横截面、普通OLS、单一模型或未处理共同日期冲击的研究更容易获得传统p&lt;0.05。Hanelt等（2021）的系统综述也强调数字化转型是受组织、行业、国家和生态系统边界条件共同塑造的持续组织变革，因此跨设计复制不应预期得到相同系数。</w:t>
      </w:r>
    </w:p>
    <w:p>
      <w:pPr>
        <w:spacing w:before="0" w:after="160" w:line="320" w:lineRule="auto"/>
        <w:jc w:val="both"/>
      </w:pPr>
      <w:r>
        <w:rPr>
          <w:rFonts w:ascii="Calibri" w:hAnsi="Calibri" w:eastAsia="Microsoft YaHei"/>
          <w:b w:val="0"/>
          <w:i w:val="0"/>
          <w:color w:val="1F2933"/>
          <w:sz w:val="22"/>
        </w:rPr>
        <w:t>最后，研究问题实际上不同。其他论文的显著结论可以说明‘在特定企业、达到一定成熟度并具备互补能力时，真实数字采用可能改善绩效’；本研究的不显著说明‘仅凭年度报告中的相对披露强度，不能在韩国上市公司总体中稳定识别短期增量回报’。两者并不矛盾，反而共同指向成熟度、组织能力、处理强度和兑现周期这些边界条件。</w:t>
      </w:r>
    </w:p>
    <w:tbl>
      <w:tblPr>
        <w:tblW w:type="dxa" w:w="9360"/>
        <w:jc w:val="left"/>
        <w:tblLayout w:type="fixed"/>
        <w:tblLook w:firstColumn="1" w:firstRow="1" w:lastColumn="0" w:lastRow="0" w:noHBand="0" w:noVBand="1" w:val="04A0"/>
        <w:tblInd w:w="120" w:type="dxa"/>
        <w:tblBorders>
          <w:top w:val="single" w:sz="6" w:space="0" w:color="C6D4E0"/>
          <w:left w:val="single" w:sz="6" w:space="0" w:color="C6D4E0"/>
          <w:bottom w:val="single" w:sz="6" w:space="0" w:color="C6D4E0"/>
          <w:right w:val="single" w:sz="6" w:space="0" w:color="C6D4E0"/>
          <w:insideH w:val="single" w:sz="6" w:space="0" w:color="C6D4E0"/>
          <w:insideV w:val="single" w:sz="6" w:space="0" w:color="C6D4E0"/>
        </w:tblBorders>
      </w:tblPr>
      <w:tblGrid>
        <w:gridCol w:w="9360"/>
      </w:tblGrid>
      <w:tr>
        <w:trPr>
          <w:cantSplit/>
        </w:trPr>
        <w:tc>
          <w:tcPr>
            <w:tcW w:type="dxa" w:w="9360"/>
            <w:vAlign w:val="center"/>
            <w:tcMar>
              <w:top w:w="80" w:type="dxa"/>
              <w:start w:w="120" w:type="dxa"/>
              <w:bottom w:w="80" w:type="dxa"/>
              <w:end w:w="120" w:type="dxa"/>
            </w:tcMar>
            <w:shd w:fill="FFF4DE"/>
          </w:tcPr>
          <w:p>
            <w:pPr>
              <w:spacing w:after="0" w:line="288" w:lineRule="auto"/>
            </w:pPr>
            <w:r>
              <w:rPr>
                <w:rFonts w:ascii="Calibri" w:hAnsi="Calibri" w:eastAsia="Microsoft YaHei"/>
                <w:b/>
                <w:color w:val="1F4D78"/>
                <w:sz w:val="22"/>
              </w:rPr>
              <w:t xml:space="preserve">正式讨论结论 </w:t>
            </w:r>
            <w:r>
              <w:rPr>
                <w:rFonts w:ascii="Calibri" w:hAnsi="Calibri" w:eastAsia="Microsoft YaHei"/>
                <w:color w:val="1F2933"/>
                <w:sz w:val="22"/>
              </w:rPr>
              <w:t>不能写成‘韩国市场比其他市场差’或‘韩国政策无效’。可以写成：韩国的集中披露制度、所有权与估值环境、全国性数字政策和智能制造成熟度差异，降低了年报数字战略文字作为短期边际信号的可识别度；真实采用的长期和条件性价值仍需企业级处理名单与动态模型检验。</w:t>
            </w:r>
          </w:p>
        </w:tc>
      </w:tr>
    </w:tbl>
    <w:p>
      <w:pPr>
        <w:spacing w:after="40"/>
      </w:pPr>
    </w:p>
    <w:p>
      <w:pPr>
        <w:pStyle w:val="Heading1"/>
      </w:pPr>
      <w:r>
        <w:t>11. 韩国制度环境与外生冲击</w:t>
      </w:r>
    </w:p>
    <w:p>
      <w:pPr>
        <w:spacing w:before="0" w:after="160" w:line="320" w:lineRule="auto"/>
        <w:jc w:val="both"/>
      </w:pPr>
      <w:r>
        <w:rPr>
          <w:rFonts w:ascii="Calibri" w:hAnsi="Calibri" w:eastAsia="Microsoft YaHei"/>
          <w:b w:val="0"/>
          <w:i w:val="0"/>
          <w:color w:val="1F2933"/>
          <w:sz w:val="22"/>
        </w:rPr>
        <w:t>候选政策经过时间、处理组、对照组和排除限制四项审计。制造业创新3.0在2014年公布，早于2015年样本起点，因此无法提供充分样本内处理前时期。2020年数字新政全国同时实施并与COVID-19重合，简单Post2020会把疫情、宏观刺激和数字政策混在一起。两者适合制度背景，不适合作为当前模型的简单外生冲击。</w:t>
      </w:r>
    </w:p>
    <w:p>
      <w:pPr>
        <w:spacing w:before="0" w:after="160" w:line="320" w:lineRule="auto"/>
        <w:jc w:val="both"/>
      </w:pPr>
      <w:r>
        <w:rPr>
          <w:rFonts w:ascii="Calibri" w:hAnsi="Calibri" w:eastAsia="Microsoft YaHei"/>
          <w:b w:val="0"/>
          <w:i w:val="0"/>
          <w:color w:val="1F2933"/>
          <w:sz w:val="22"/>
        </w:rPr>
        <w:t>最有希望的是企业分期采用的智能工厂支持项目。官方与研究资料显示2014-2022年累计建设约30,144家智能工厂，主管部门微观资料可包含支持企业、采用年份、类型、水平和地区。若取得名单，应限制制造业并首先补充事业者登记号，再将企业级处理年份与DART corp_code审慎匹配。</w:t>
      </w:r>
    </w:p>
    <w:p>
      <w:pPr>
        <w:pStyle w:val="ListNumber"/>
        <w:spacing w:after="80" w:line="290" w:lineRule="auto"/>
      </w:pPr>
      <w:r>
        <w:rPr>
          <w:rFonts w:ascii="Calibri" w:hAnsi="Calibri" w:eastAsia="Microsoft YaHei"/>
          <w:color w:val="1F2933"/>
          <w:sz w:val="22"/>
        </w:rPr>
        <w:t>先做重叠和功效审计：处理企业数、采用年份、处理前三期、行业和市场分布。</w:t>
      </w:r>
    </w:p>
    <w:p>
      <w:pPr>
        <w:pStyle w:val="ListNumber"/>
        <w:spacing w:after="80" w:line="290" w:lineRule="auto"/>
      </w:pPr>
      <w:r>
        <w:rPr>
          <w:rFonts w:ascii="Calibri" w:hAnsi="Calibri" w:eastAsia="Microsoft YaHei"/>
          <w:color w:val="1F2933"/>
          <w:sz w:val="22"/>
        </w:rPr>
        <w:t>采用Callaway-Sant'Anna组别-时间ATT或Sun-Abraham动态事件研究，使用从未处理或尚未处理企业。</w:t>
      </w:r>
    </w:p>
    <w:p>
      <w:pPr>
        <w:pStyle w:val="ListNumber"/>
        <w:spacing w:after="80" w:line="290" w:lineRule="auto"/>
      </w:pPr>
      <w:r>
        <w:rPr>
          <w:rFonts w:ascii="Calibri" w:hAnsi="Calibri" w:eastAsia="Microsoft YaHei"/>
          <w:color w:val="1F2933"/>
          <w:sz w:val="22"/>
        </w:rPr>
        <w:t>报告处理前趋势、预期效应、建设等级和项目类型异质性，并处理政策批次或地区共同冲击。</w:t>
      </w:r>
    </w:p>
    <w:p>
      <w:pPr>
        <w:pStyle w:val="ListNumber"/>
        <w:spacing w:after="80" w:line="290" w:lineRule="auto"/>
      </w:pPr>
      <w:r>
        <w:rPr>
          <w:rFonts w:ascii="Calibri" w:hAnsi="Calibri" w:eastAsia="Microsoft YaHei"/>
          <w:color w:val="1F2933"/>
          <w:sz w:val="22"/>
        </w:rPr>
        <w:t>在企业级处理名单取得与核验之前，只把该设计列为预注册式后续扩展，不声称已完成因果估计。</w:t>
      </w:r>
    </w:p>
    <w:tbl>
      <w:tblPr>
        <w:tblW w:type="dxa" w:w="9360"/>
        <w:jc w:val="left"/>
        <w:tblLayout w:type="fixed"/>
        <w:tblLook w:firstColumn="1" w:firstRow="1" w:lastColumn="0" w:lastRow="0" w:noHBand="0" w:noVBand="1" w:val="04A0"/>
        <w:tblInd w:w="120" w:type="dxa"/>
        <w:tblBorders>
          <w:top w:val="single" w:sz="4" w:space="0" w:color="D6DEE6"/>
          <w:left w:val="single" w:sz="4" w:space="0" w:color="D6DEE6"/>
          <w:bottom w:val="single" w:sz="4" w:space="0" w:color="D6DEE6"/>
          <w:right w:val="single" w:sz="4" w:space="0" w:color="D6DEE6"/>
          <w:insideH w:val="single" w:sz="4" w:space="0" w:color="D6DEE6"/>
          <w:insideV w:val="single" w:sz="4" w:space="0" w:color="D6DEE6"/>
        </w:tblBorders>
      </w:tblPr>
      <w:tblGrid>
        <w:gridCol w:w="2800"/>
        <w:gridCol w:w="1400"/>
        <w:gridCol w:w="5160"/>
      </w:tblGrid>
      <w:tr>
        <w:trPr>
          <w:cantSplit/>
        </w:trPr>
        <w:tc>
          <w:tcPr>
            <w:tcW w:type="dxa" w:w="2800"/>
            <w:shd w:fill="1F4D78"/>
            <w:vAlign w:val="center"/>
            <w:tcMar>
              <w:top w:w="80" w:type="dxa"/>
              <w:start w:w="120" w:type="dxa"/>
              <w:bottom w:w="80" w:type="dxa"/>
              <w:end w:w="120" w:type="dxa"/>
            </w:tcMar>
          </w:tcPr>
          <w:p>
            <w:pPr>
              <w:spacing w:after="0"/>
              <w:jc w:val="center"/>
            </w:pPr>
            <w:r>
              <w:rPr>
                <w:rFonts w:ascii="Calibri" w:hAnsi="Calibri" w:eastAsia="Microsoft YaHei"/>
                <w:b/>
                <w:color w:val="FFFFFF"/>
                <w:sz w:val="18"/>
              </w:rPr>
              <w:t>政策</w:t>
            </w:r>
          </w:p>
        </w:tc>
        <w:tc>
          <w:tcPr>
            <w:tcW w:type="dxa" w:w="1400"/>
            <w:shd w:fill="1F4D78"/>
            <w:vAlign w:val="center"/>
            <w:tcMar>
              <w:top w:w="80" w:type="dxa"/>
              <w:start w:w="120" w:type="dxa"/>
              <w:bottom w:w="80" w:type="dxa"/>
              <w:end w:w="120" w:type="dxa"/>
            </w:tcMar>
          </w:tcPr>
          <w:p>
            <w:pPr>
              <w:spacing w:after="0"/>
              <w:jc w:val="center"/>
            </w:pPr>
            <w:r>
              <w:rPr>
                <w:rFonts w:ascii="Calibri" w:hAnsi="Calibri" w:eastAsia="Microsoft YaHei"/>
                <w:b/>
                <w:color w:val="FFFFFF"/>
                <w:sz w:val="18"/>
              </w:rPr>
              <w:t>时间</w:t>
            </w:r>
          </w:p>
        </w:tc>
        <w:tc>
          <w:tcPr>
            <w:tcW w:type="dxa" w:w="5160"/>
            <w:shd w:fill="1F4D78"/>
            <w:vAlign w:val="center"/>
            <w:tcMar>
              <w:top w:w="80" w:type="dxa"/>
              <w:start w:w="120" w:type="dxa"/>
              <w:bottom w:w="80" w:type="dxa"/>
              <w:end w:w="120" w:type="dxa"/>
            </w:tcMar>
          </w:tcPr>
          <w:p>
            <w:pPr>
              <w:spacing w:after="0"/>
              <w:jc w:val="center"/>
            </w:pPr>
            <w:r>
              <w:rPr>
                <w:rFonts w:ascii="Calibri" w:hAnsi="Calibri" w:eastAsia="Microsoft YaHei"/>
                <w:b/>
                <w:color w:val="FFFFFF"/>
                <w:sz w:val="18"/>
              </w:rPr>
              <w:t>识别判断</w:t>
            </w:r>
          </w:p>
        </w:tc>
      </w:tr>
      <w:tr>
        <w:trPr>
          <w:cantSplit/>
        </w:trPr>
        <w:tc>
          <w:tcPr>
            <w:tcW w:type="dxa" w:w="2800"/>
            <w:vAlign w:val="center"/>
            <w:tcMar>
              <w:top w:w="80" w:type="dxa"/>
              <w:start w:w="120" w:type="dxa"/>
              <w:bottom w:w="80" w:type="dxa"/>
              <w:end w:w="120" w:type="dxa"/>
            </w:tcMar>
          </w:tcPr>
          <w:p>
            <w:pPr>
              <w:spacing w:after="0" w:line="252" w:lineRule="auto"/>
            </w:pPr>
            <w:r>
              <w:rPr>
                <w:rFonts w:ascii="Calibri" w:hAnsi="Calibri" w:eastAsia="Microsoft YaHei"/>
                <w:color w:val="1F2933"/>
                <w:sz w:val="18"/>
              </w:rPr>
              <w:t>制造业创新3.0</w:t>
            </w:r>
          </w:p>
        </w:tc>
        <w:tc>
          <w:tcPr>
            <w:tcW w:type="dxa" w:w="1400"/>
            <w:vAlign w:val="center"/>
            <w:tcMar>
              <w:top w:w="80" w:type="dxa"/>
              <w:start w:w="120" w:type="dxa"/>
              <w:bottom w:w="80" w:type="dxa"/>
              <w:end w:w="120" w:type="dxa"/>
            </w:tcMar>
          </w:tcPr>
          <w:p>
            <w:pPr>
              <w:spacing w:after="0" w:line="252" w:lineRule="auto"/>
            </w:pPr>
            <w:r>
              <w:rPr>
                <w:rFonts w:ascii="Calibri" w:hAnsi="Calibri" w:eastAsia="Microsoft YaHei"/>
                <w:color w:val="1F2933"/>
                <w:sz w:val="18"/>
              </w:rPr>
              <w:t>2014</w:t>
            </w:r>
          </w:p>
        </w:tc>
        <w:tc>
          <w:tcPr>
            <w:tcW w:type="dxa" w:w="5160"/>
            <w:vAlign w:val="center"/>
            <w:tcMar>
              <w:top w:w="80" w:type="dxa"/>
              <w:start w:w="120" w:type="dxa"/>
              <w:bottom w:w="80" w:type="dxa"/>
              <w:end w:w="120" w:type="dxa"/>
            </w:tcMar>
          </w:tcPr>
          <w:p>
            <w:pPr>
              <w:spacing w:after="0" w:line="252" w:lineRule="auto"/>
            </w:pPr>
            <w:r>
              <w:rPr>
                <w:rFonts w:ascii="Calibri" w:hAnsi="Calibri" w:eastAsia="Microsoft YaHei"/>
                <w:color w:val="1F2933"/>
                <w:sz w:val="18"/>
              </w:rPr>
              <w:t>背景，不用于简单DiD</w:t>
            </w:r>
          </w:p>
        </w:tc>
      </w:tr>
      <w:tr>
        <w:trPr>
          <w:cantSplit/>
        </w:trPr>
        <w:tc>
          <w:tcPr>
            <w:tcW w:type="dxa" w:w="2800"/>
            <w:shd w:fill="F4F6F9"/>
            <w:vAlign w:val="center"/>
            <w:tcMar>
              <w:top w:w="80" w:type="dxa"/>
              <w:start w:w="120" w:type="dxa"/>
              <w:bottom w:w="80" w:type="dxa"/>
              <w:end w:w="120" w:type="dxa"/>
            </w:tcMar>
          </w:tcPr>
          <w:p>
            <w:pPr>
              <w:spacing w:after="0" w:line="252" w:lineRule="auto"/>
            </w:pPr>
            <w:r>
              <w:rPr>
                <w:rFonts w:ascii="Calibri" w:hAnsi="Calibri" w:eastAsia="Microsoft YaHei"/>
                <w:color w:val="1F2933"/>
                <w:sz w:val="18"/>
              </w:rPr>
              <w:t>数字新政</w:t>
            </w:r>
          </w:p>
        </w:tc>
        <w:tc>
          <w:tcPr>
            <w:tcW w:type="dxa" w:w="1400"/>
            <w:shd w:fill="F4F6F9"/>
            <w:vAlign w:val="center"/>
            <w:tcMar>
              <w:top w:w="80" w:type="dxa"/>
              <w:start w:w="120" w:type="dxa"/>
              <w:bottom w:w="80" w:type="dxa"/>
              <w:end w:w="120" w:type="dxa"/>
            </w:tcMar>
          </w:tcPr>
          <w:p>
            <w:pPr>
              <w:spacing w:after="0" w:line="252" w:lineRule="auto"/>
            </w:pPr>
            <w:r>
              <w:rPr>
                <w:rFonts w:ascii="Calibri" w:hAnsi="Calibri" w:eastAsia="Microsoft YaHei"/>
                <w:color w:val="1F2933"/>
                <w:sz w:val="18"/>
              </w:rPr>
              <w:t>2020</w:t>
            </w:r>
          </w:p>
        </w:tc>
        <w:tc>
          <w:tcPr>
            <w:tcW w:type="dxa" w:w="5160"/>
            <w:shd w:fill="F4F6F9"/>
            <w:vAlign w:val="center"/>
            <w:tcMar>
              <w:top w:w="80" w:type="dxa"/>
              <w:start w:w="120" w:type="dxa"/>
              <w:bottom w:w="80" w:type="dxa"/>
              <w:end w:w="120" w:type="dxa"/>
            </w:tcMar>
          </w:tcPr>
          <w:p>
            <w:pPr>
              <w:spacing w:after="0" w:line="252" w:lineRule="auto"/>
            </w:pPr>
            <w:r>
              <w:rPr>
                <w:rFonts w:ascii="Calibri" w:hAnsi="Calibri" w:eastAsia="Microsoft YaHei"/>
                <w:color w:val="1F2933"/>
                <w:sz w:val="18"/>
              </w:rPr>
              <w:t>全国冲击且与COVID重合</w:t>
            </w:r>
          </w:p>
        </w:tc>
      </w:tr>
      <w:tr>
        <w:trPr>
          <w:cantSplit/>
        </w:trPr>
        <w:tc>
          <w:tcPr>
            <w:tcW w:type="dxa" w:w="2800"/>
            <w:vAlign w:val="center"/>
            <w:tcMar>
              <w:top w:w="80" w:type="dxa"/>
              <w:start w:w="120" w:type="dxa"/>
              <w:bottom w:w="80" w:type="dxa"/>
              <w:end w:w="120" w:type="dxa"/>
            </w:tcMar>
          </w:tcPr>
          <w:p>
            <w:pPr>
              <w:spacing w:after="0" w:line="252" w:lineRule="auto"/>
            </w:pPr>
            <w:r>
              <w:rPr>
                <w:rFonts w:ascii="Calibri" w:hAnsi="Calibri" w:eastAsia="Microsoft YaHei"/>
                <w:color w:val="1F2933"/>
                <w:sz w:val="18"/>
              </w:rPr>
              <w:t>智能工厂分期采用</w:t>
            </w:r>
          </w:p>
        </w:tc>
        <w:tc>
          <w:tcPr>
            <w:tcW w:type="dxa" w:w="1400"/>
            <w:vAlign w:val="center"/>
            <w:tcMar>
              <w:top w:w="80" w:type="dxa"/>
              <w:start w:w="120" w:type="dxa"/>
              <w:bottom w:w="80" w:type="dxa"/>
              <w:end w:w="120" w:type="dxa"/>
            </w:tcMar>
          </w:tcPr>
          <w:p>
            <w:pPr>
              <w:spacing w:after="0" w:line="252" w:lineRule="auto"/>
            </w:pPr>
            <w:r>
              <w:rPr>
                <w:rFonts w:ascii="Calibri" w:hAnsi="Calibri" w:eastAsia="Microsoft YaHei"/>
                <w:color w:val="1F2933"/>
                <w:sz w:val="18"/>
              </w:rPr>
              <w:t>2014-</w:t>
            </w:r>
          </w:p>
        </w:tc>
        <w:tc>
          <w:tcPr>
            <w:tcW w:type="dxa" w:w="5160"/>
            <w:vAlign w:val="center"/>
            <w:tcMar>
              <w:top w:w="80" w:type="dxa"/>
              <w:start w:w="120" w:type="dxa"/>
              <w:bottom w:w="80" w:type="dxa"/>
              <w:end w:w="120" w:type="dxa"/>
            </w:tcMar>
          </w:tcPr>
          <w:p>
            <w:pPr>
              <w:spacing w:after="0" w:line="252" w:lineRule="auto"/>
            </w:pPr>
            <w:r>
              <w:rPr>
                <w:rFonts w:ascii="Calibri" w:hAnsi="Calibri" w:eastAsia="Microsoft YaHei"/>
                <w:color w:val="1F2933"/>
                <w:sz w:val="18"/>
              </w:rPr>
              <w:t>取得微观受益名单后可做现代DiD</w:t>
            </w:r>
          </w:p>
        </w:tc>
      </w:tr>
    </w:tbl>
    <w:p>
      <w:pPr>
        <w:spacing w:after="20"/>
      </w:pPr>
    </w:p>
    <w:p>
      <w:pPr>
        <w:pStyle w:val="Heading1"/>
      </w:pPr>
      <w:r>
        <w:t>12. 结论、贡献与限制</w:t>
      </w:r>
    </w:p>
    <w:p>
      <w:pPr>
        <w:spacing w:before="0" w:after="160" w:line="320" w:lineRule="auto"/>
        <w:jc w:val="both"/>
      </w:pPr>
      <w:r>
        <w:rPr>
          <w:rFonts w:ascii="Calibri" w:hAnsi="Calibri" w:eastAsia="Microsoft YaHei"/>
          <w:b w:val="0"/>
          <w:i w:val="0"/>
          <w:color w:val="1F2933"/>
          <w:sz w:val="22"/>
        </w:rPr>
        <w:t>第一，内部真实效应的正式结论是没有发现稳健的短期经营绩效改善。第二，外部资本市场的正式结论是更强的实质数字战略披露与较低三日CAR存在弱负向关联，但该关系没有通过多重检验，且受到安慰剂失败约束。第三，非线性、BMI重构和纯市场信号没有形成可确认的独立机制。</w:t>
      </w:r>
    </w:p>
    <w:p>
      <w:pPr>
        <w:spacing w:before="0" w:after="160" w:line="320" w:lineRule="auto"/>
        <w:jc w:val="both"/>
      </w:pPr>
      <w:r>
        <w:rPr>
          <w:rFonts w:ascii="Calibri" w:hAnsi="Calibri" w:eastAsia="Microsoft YaHei"/>
          <w:b w:val="0"/>
          <w:i w:val="0"/>
          <w:color w:val="1F2933"/>
          <w:sz w:val="22"/>
        </w:rPr>
        <w:t>跨国比较不能概括为韩国市场‘更差’。更有依据的表述是：韩国年报披露时点集中、公司与机构投资者结构不同、企业集团与股东价值问题更受关注、全国性数字政策形成共同趋势，且智能制造成熟度高度异质。这些制度特征降低了年报数字战略语言作为短期边际信号的可识别度，却不否定真实数字采用在具备组织互补资产和较长兑现周期时可能创造价值。</w:t>
      </w:r>
    </w:p>
    <w:p>
      <w:pPr>
        <w:spacing w:before="0" w:after="160" w:line="320" w:lineRule="auto"/>
        <w:jc w:val="both"/>
      </w:pPr>
      <w:r>
        <w:rPr>
          <w:rFonts w:ascii="Calibri" w:hAnsi="Calibri" w:eastAsia="Microsoft YaHei"/>
          <w:b w:val="0"/>
          <w:i w:val="0"/>
          <w:color w:val="1F2933"/>
          <w:sz w:val="22"/>
        </w:rPr>
        <w:t>论文的理论意义不是宣称数字化必然提升绩效，而是区分战略行动、商业模式改变、可见信号和口号性语言，并展示披露、实施与价值实现之间可能存在时间错位。对韩国市场而言，集中披露日、数字政策普及、KOSPI/KOSDAQ结构差异和执行不确定性使简单词频与简单事件研究尤其容易产生误判。</w:t>
      </w:r>
    </w:p>
    <w:p>
      <w:pPr>
        <w:spacing w:before="0" w:after="160" w:line="320" w:lineRule="auto"/>
        <w:jc w:val="both"/>
      </w:pPr>
      <w:r>
        <w:rPr>
          <w:rFonts w:ascii="Calibri" w:hAnsi="Calibri" w:eastAsia="Microsoft YaHei"/>
          <w:b w:val="0"/>
          <w:i w:val="0"/>
          <w:color w:val="1F2933"/>
          <w:sz w:val="22"/>
        </w:rPr>
        <w:t>方法贡献包括：大规模韩文年报自动采集；句子级行动筛选；行业×年份相对信号；修订文本与事件日严格对齐；公司与事件日双向聚类；并发公告逐日逐页审计；零膨胀、持久性、非线性、多重检验和时间边界的系统诊断。负面或弱结果在这一设计下具有信息价值，因为它显示文献中的显著关系可能依赖粗糙测量、选择性样本、共同趋势或过于乐观的标准误。</w:t>
      </w:r>
    </w:p>
    <w:p>
      <w:pPr>
        <w:spacing w:before="0" w:after="160" w:line="320" w:lineRule="auto"/>
        <w:jc w:val="both"/>
      </w:pPr>
      <w:r>
        <w:rPr>
          <w:rFonts w:ascii="Calibri" w:hAnsi="Calibri" w:eastAsia="Microsoft YaHei"/>
          <w:b w:val="0"/>
          <w:i w:val="0"/>
          <w:color w:val="1F2933"/>
          <w:sz w:val="22"/>
        </w:rPr>
        <w:t>主要限制是文本指标仍不能直接测量投入金额、项目质量与组织能力；英文披露不足迫使研究转向韩文年报；独立第二编码者验证仍需真实完成；财务与治理扩展变量存在缺失；事件研究无法排除所有非DART信息；当前政策冲击缺少企业级处理名单。因此当前版本达到的是严谨的关联性实证设计，而不是最终的因果论文。</w:t>
      </w:r>
    </w:p>
    <w:tbl>
      <w:tblPr>
        <w:tblW w:type="dxa" w:w="9360"/>
        <w:jc w:val="left"/>
        <w:tblLayout w:type="fixed"/>
        <w:tblLook w:firstColumn="1" w:firstRow="1" w:lastColumn="0" w:lastRow="0" w:noHBand="0" w:noVBand="1" w:val="04A0"/>
        <w:tblInd w:w="120" w:type="dxa"/>
        <w:tblBorders>
          <w:top w:val="single" w:sz="6" w:space="0" w:color="C6D4E0"/>
          <w:left w:val="single" w:sz="6" w:space="0" w:color="C6D4E0"/>
          <w:bottom w:val="single" w:sz="6" w:space="0" w:color="C6D4E0"/>
          <w:right w:val="single" w:sz="6" w:space="0" w:color="C6D4E0"/>
          <w:insideH w:val="single" w:sz="6" w:space="0" w:color="C6D4E0"/>
          <w:insideV w:val="single" w:sz="6" w:space="0" w:color="C6D4E0"/>
        </w:tblBorders>
      </w:tblPr>
      <w:tblGrid>
        <w:gridCol w:w="9360"/>
      </w:tblGrid>
      <w:tr>
        <w:trPr>
          <w:cantSplit/>
        </w:trPr>
        <w:tc>
          <w:tcPr>
            <w:tcW w:type="dxa" w:w="9360"/>
            <w:vAlign w:val="center"/>
            <w:tcMar>
              <w:top w:w="80" w:type="dxa"/>
              <w:start w:w="120" w:type="dxa"/>
              <w:bottom w:w="80" w:type="dxa"/>
              <w:end w:w="120" w:type="dxa"/>
            </w:tcMar>
            <w:shd w:fill="FFF4DE"/>
          </w:tcPr>
          <w:p>
            <w:pPr>
              <w:spacing w:after="0" w:line="288" w:lineRule="auto"/>
            </w:pPr>
            <w:r>
              <w:rPr>
                <w:rFonts w:ascii="Calibri" w:hAnsi="Calibri" w:eastAsia="Microsoft YaHei"/>
                <w:b/>
                <w:color w:val="1F4D78"/>
                <w:sz w:val="22"/>
              </w:rPr>
              <w:t xml:space="preserve">投稿口径 </w:t>
            </w:r>
            <w:r>
              <w:rPr>
                <w:rFonts w:ascii="Calibri" w:hAnsi="Calibri" w:eastAsia="Microsoft YaHei"/>
                <w:color w:val="1F2933"/>
                <w:sz w:val="22"/>
              </w:rPr>
              <w:t>使用“未发现稳健证据”“与……相关”“结果与实施成本/兑现风险解释一致”，避免使用“证明”“导致”“惩罚”或“中介效应成立”。</w:t>
            </w:r>
          </w:p>
        </w:tc>
      </w:tr>
    </w:tbl>
    <w:p>
      <w:pPr>
        <w:spacing w:after="40"/>
      </w:pPr>
    </w:p>
    <w:p>
      <w:pPr>
        <w:pStyle w:val="Heading1"/>
      </w:pPr>
      <w:r>
        <w:t>13. 复现与文件说明</w:t>
      </w:r>
    </w:p>
    <w:p>
      <w:pPr>
        <w:spacing w:before="0" w:after="160" w:line="320" w:lineRule="auto"/>
        <w:jc w:val="both"/>
      </w:pPr>
      <w:r>
        <w:rPr>
          <w:rFonts w:ascii="Calibri" w:hAnsi="Calibri" w:eastAsia="Microsoft YaHei"/>
          <w:b w:val="0"/>
          <w:i w:val="0"/>
          <w:color w:val="1F2933"/>
          <w:sz w:val="22"/>
        </w:rPr>
        <w:t>正式包的01_核心数据包含冻结分析面板、严格对齐事件研究数据、事件级并发公告标记、并发公告明细和变量字典。02_模型与结果包含总览工作簿、完整经营与CAR模型、联合检验、逐年剔除、文本时间边界和并发公告剔除模型。06_复现代码保留最终模型、事件审计和模型审计脚本。</w:t>
      </w:r>
    </w:p>
    <w:p>
      <w:pPr>
        <w:spacing w:before="0" w:after="160" w:line="320" w:lineRule="auto"/>
        <w:jc w:val="both"/>
      </w:pPr>
      <w:r>
        <w:rPr>
          <w:rFonts w:ascii="Calibri" w:hAnsi="Calibri" w:eastAsia="Microsoft YaHei"/>
          <w:b w:val="0"/>
          <w:i w:val="0"/>
          <w:color w:val="1F2933"/>
          <w:sz w:val="22"/>
        </w:rPr>
        <w:t>复现顺序为：读取冻结面板并构造派生变量；运行经营与CAR模型；进行FDR、VIF、零膨胀与时间边界诊断；抓取DART事件窗公告并重跑清洁样本；最后生成正式资产、工作簿和双语报告。API密钥只从环境变量读取，不写入代码或成果包。</w:t>
      </w:r>
    </w:p>
    <w:p>
      <w:pPr>
        <w:pStyle w:val="Heading1"/>
      </w:pPr>
      <w:r>
        <w:t>14. 参考来源</w:t>
      </w:r>
    </w:p>
    <w:p>
      <w:pPr>
        <w:spacing w:after="100"/>
        <w:ind w:left="259" w:hanging="259"/>
      </w:pPr>
      <w:r>
        <w:rPr>
          <w:rFonts w:ascii="Calibri" w:hAnsi="Calibri" w:eastAsia="Microsoft YaHei"/>
          <w:color w:val="1F2933"/>
          <w:sz w:val="19"/>
        </w:rPr>
        <w:t>Republic of Korea Policy Briefing (2014). Manufacturing Innovation 3.0 Strategy. https://m.korea.kr/briefing/policyBriefingView.do?newsId=148780561</w:t>
      </w:r>
    </w:p>
    <w:p>
      <w:pPr>
        <w:spacing w:after="100"/>
        <w:ind w:left="259" w:hanging="259"/>
      </w:pPr>
      <w:r>
        <w:rPr>
          <w:rFonts w:ascii="Calibri" w:hAnsi="Calibri" w:eastAsia="Microsoft YaHei"/>
          <w:color w:val="1F2933"/>
          <w:sz w:val="19"/>
        </w:rPr>
        <w:t>Ministry of Economy and Finance (2020). Korean New Deal / Digital New Deal. https://www.moef.go.kr/nw/nes/detailNesDtaView.do?menuNo=4010100&amp;searchBbsId1=MOSFBBS_000000000028&amp;searchNttId1=MOSF_000000000040637</w:t>
      </w:r>
    </w:p>
    <w:p>
      <w:pPr>
        <w:spacing w:after="100"/>
        <w:ind w:left="259" w:hanging="259"/>
      </w:pPr>
      <w:r>
        <w:rPr>
          <w:rFonts w:ascii="Calibri" w:hAnsi="Calibri" w:eastAsia="Microsoft YaHei"/>
          <w:color w:val="1F2933"/>
          <w:sz w:val="19"/>
        </w:rPr>
        <w:t>Ministry of Economy and Finance (2020). Korean New Deal English policy document. https://english.moef.go.kr/co/fixFileDown.do?orgNm=Korean_New_Deal.pdf</w:t>
      </w:r>
    </w:p>
    <w:p>
      <w:pPr>
        <w:spacing w:after="100"/>
        <w:ind w:left="259" w:hanging="259"/>
      </w:pPr>
      <w:r>
        <w:rPr>
          <w:rFonts w:ascii="Calibri" w:hAnsi="Calibri" w:eastAsia="Microsoft YaHei"/>
          <w:color w:val="1F2933"/>
          <w:sz w:val="19"/>
        </w:rPr>
        <w:t>National Assembly Budget Office (2023). Digital Transformation Policy Analysis. https://nabo.go.kr/board/file/down.do?fid=33317567</w:t>
      </w:r>
    </w:p>
    <w:p>
      <w:pPr>
        <w:spacing w:after="100"/>
        <w:ind w:left="259" w:hanging="259"/>
      </w:pPr>
      <w:r>
        <w:rPr>
          <w:rFonts w:ascii="Calibri" w:hAnsi="Calibri" w:eastAsia="Microsoft YaHei"/>
          <w:color w:val="1F2933"/>
          <w:sz w:val="19"/>
        </w:rPr>
        <w:t>KOSMO / Ministry of SMEs and Startups (2026). Smart Factory Support Portal. https://www.smart-factory.kr/</w:t>
      </w:r>
    </w:p>
    <w:p>
      <w:pPr>
        <w:spacing w:after="100"/>
        <w:ind w:left="259" w:hanging="259"/>
      </w:pPr>
      <w:r>
        <w:rPr>
          <w:rFonts w:ascii="Calibri" w:hAnsi="Calibri" w:eastAsia="Microsoft YaHei"/>
          <w:color w:val="1F2933"/>
          <w:sz w:val="19"/>
        </w:rPr>
        <w:t>Korea Development Institute (2019). Smart Policies for Smart Factories. https://www.kdi.re.kr/eng/research/reportView?pub_no=16563</w:t>
      </w:r>
    </w:p>
    <w:p>
      <w:pPr>
        <w:spacing w:after="100"/>
        <w:ind w:left="259" w:hanging="259"/>
      </w:pPr>
      <w:r>
        <w:rPr>
          <w:rFonts w:ascii="Calibri" w:hAnsi="Calibri" w:eastAsia="Microsoft YaHei"/>
          <w:color w:val="1F2933"/>
          <w:sz w:val="19"/>
        </w:rPr>
        <w:t>Technology in Society (2024). Regional factors associated with smart factory adoption in South Korea. https://www.sciencedirect.com/science/article/pii/S0160791X24000575</w:t>
      </w:r>
    </w:p>
    <w:p>
      <w:pPr>
        <w:spacing w:after="100"/>
        <w:ind w:left="259" w:hanging="259"/>
      </w:pPr>
      <w:r>
        <w:rPr>
          <w:rFonts w:ascii="Calibri" w:hAnsi="Calibri" w:eastAsia="Microsoft YaHei"/>
          <w:color w:val="1F2933"/>
          <w:sz w:val="19"/>
        </w:rPr>
        <w:t>Financial Supervisory Service (2026). DART periodic-disclosure filing deadlines. https://dart2.fss.or.kr/introduction/content2.do</w:t>
      </w:r>
    </w:p>
    <w:p>
      <w:pPr>
        <w:spacing w:after="100"/>
        <w:ind w:left="259" w:hanging="259"/>
      </w:pPr>
      <w:r>
        <w:rPr>
          <w:rFonts w:ascii="Calibri" w:hAnsi="Calibri" w:eastAsia="Microsoft YaHei"/>
          <w:color w:val="1F2933"/>
          <w:sz w:val="19"/>
        </w:rPr>
        <w:t>OECD (2025). OECD Corporate Governance Factbook 2025: Korea. https://www.oecd.org/en/publications/oecd-corporate-governance-factbook-2025_4d9f40fc-en/korea_42075190-en.html</w:t>
      </w:r>
    </w:p>
    <w:p>
      <w:pPr>
        <w:spacing w:after="100"/>
        <w:ind w:left="259" w:hanging="259"/>
      </w:pPr>
      <w:r>
        <w:rPr>
          <w:rFonts w:ascii="Calibri" w:hAnsi="Calibri" w:eastAsia="Microsoft YaHei"/>
          <w:color w:val="1F2933"/>
          <w:sz w:val="19"/>
        </w:rPr>
        <w:t>Financial Services Commission (2024). Corporate Value-up Plan. https://www.fsc.go.kr/eng/po110101/82795</w:t>
      </w:r>
    </w:p>
    <w:p>
      <w:pPr>
        <w:spacing w:after="100"/>
        <w:ind w:left="259" w:hanging="259"/>
      </w:pPr>
      <w:r>
        <w:rPr>
          <w:rFonts w:ascii="Calibri" w:hAnsi="Calibri" w:eastAsia="Microsoft YaHei"/>
          <w:color w:val="1F2933"/>
          <w:sz w:val="19"/>
        </w:rPr>
        <w:t>OECD Economic Survey: Korea (2018). Reforming large business groups to promote productivity and inclusion in Korea. https://www.oecd.org/en/publications/oecd-economic-surveys-korea-2018_eco_surveys-kor-2018-en/full-report/component-8.html</w:t>
      </w:r>
    </w:p>
    <w:p>
      <w:pPr>
        <w:spacing w:after="100"/>
        <w:ind w:left="259" w:hanging="259"/>
      </w:pPr>
      <w:r>
        <w:rPr>
          <w:rFonts w:ascii="Calibri" w:hAnsi="Calibri" w:eastAsia="Microsoft YaHei"/>
          <w:color w:val="1F2933"/>
          <w:sz w:val="19"/>
        </w:rPr>
        <w:t>American Economic Review (2012). Americans Do IT Better: US Multinationals and the Productivity Miracle. https://www.nber.org/papers/w13085</w:t>
      </w:r>
    </w:p>
    <w:p>
      <w:pPr>
        <w:spacing w:after="100"/>
        <w:ind w:left="259" w:hanging="259"/>
      </w:pPr>
      <w:r>
        <w:rPr>
          <w:rFonts w:ascii="Calibri" w:hAnsi="Calibri" w:eastAsia="Microsoft YaHei"/>
          <w:color w:val="1F2933"/>
          <w:sz w:val="19"/>
        </w:rPr>
        <w:t>Management Decision (2022). Are smart manufacturing systems beneficial for all SMEs? Evidence from Korea. https://www.sciencedirect.com/science/article/pii/S002517472200060X</w:t>
      </w:r>
    </w:p>
    <w:p>
      <w:pPr>
        <w:spacing w:after="100"/>
        <w:ind w:left="259" w:hanging="259"/>
      </w:pPr>
      <w:r>
        <w:rPr>
          <w:rFonts w:ascii="Calibri" w:hAnsi="Calibri" w:eastAsia="Microsoft YaHei"/>
          <w:color w:val="1F2933"/>
          <w:sz w:val="19"/>
        </w:rPr>
        <w:t>Technology in Society (2024). How does digitalization drive urban industrial locations? An empirical examination of South Korea's experience. https://www.sciencedirect.com/science/article/pii/S0160791X24002562</w:t>
      </w:r>
    </w:p>
    <w:p>
      <w:pPr>
        <w:spacing w:after="100"/>
        <w:ind w:left="259" w:hanging="259"/>
      </w:pPr>
      <w:r>
        <w:rPr>
          <w:rFonts w:ascii="Calibri" w:hAnsi="Calibri" w:eastAsia="Microsoft YaHei"/>
          <w:color w:val="1F2933"/>
          <w:sz w:val="19"/>
        </w:rPr>
        <w:t>Journal of Econometrics (2021). Difference-in-Differences with multiple time periods. https://doi.org/10.1016/j.jeconom.2020.12.001</w:t>
      </w:r>
    </w:p>
    <w:p>
      <w:pPr>
        <w:spacing w:after="100"/>
        <w:ind w:left="259" w:hanging="259"/>
      </w:pPr>
      <w:r>
        <w:rPr>
          <w:rFonts w:ascii="Calibri" w:hAnsi="Calibri" w:eastAsia="Microsoft YaHei"/>
          <w:color w:val="1F2933"/>
          <w:sz w:val="19"/>
        </w:rPr>
        <w:t>Journal of Econometrics (2021). Estimating dynamic treatment effects in event studies with heterogeneous treatment effects. https://doi.org/10.1016/j.jeconom.2020.09.006</w:t>
      </w:r>
    </w:p>
    <w:p>
      <w:pPr>
        <w:spacing w:after="100"/>
        <w:ind w:left="259" w:hanging="259"/>
      </w:pPr>
      <w:r>
        <w:rPr>
          <w:rFonts w:ascii="Calibri" w:hAnsi="Calibri" w:eastAsia="Microsoft YaHei"/>
          <w:color w:val="1F2933"/>
          <w:sz w:val="19"/>
        </w:rPr>
        <w:t>Review of Financial Studies (2009). Estimating standard errors in finance panel data sets. https://academic.oup.com/rfs/article-abstract/22/1/435/1585940</w:t>
      </w:r>
    </w:p>
    <w:p>
      <w:pPr>
        <w:spacing w:after="100"/>
        <w:ind w:left="259" w:hanging="259"/>
      </w:pPr>
      <w:r>
        <w:rPr>
          <w:rFonts w:ascii="Calibri" w:hAnsi="Calibri" w:eastAsia="Microsoft YaHei"/>
          <w:color w:val="1F2933"/>
          <w:sz w:val="19"/>
        </w:rPr>
        <w:t>Journal of Economic Literature (1997). Event Studies in Economics and Finance. https://www.jstor.org/stable/2729691</w:t>
      </w:r>
    </w:p>
    <w:p>
      <w:pPr>
        <w:spacing w:after="100"/>
        <w:ind w:left="259" w:hanging="259"/>
      </w:pPr>
      <w:r>
        <w:rPr>
          <w:rFonts w:ascii="Calibri" w:hAnsi="Calibri" w:eastAsia="Microsoft YaHei"/>
          <w:color w:val="1F2933"/>
          <w:sz w:val="19"/>
        </w:rPr>
        <w:t>Journal of Management Studies (2021). A Systematic Review of the Literature on Digital Transformation. https://onlinelibrary.wiley.com/doi/10.1111/joms.12639</w:t>
      </w:r>
    </w:p>
    <w:sectPr w:rsidR="00FC693F" w:rsidRPr="0006063C" w:rsidSect="00034616">
      <w:headerReference w:type="default" r:id="rId9"/>
      <w:footerReference w:type="default" r:id="rId10"/>
      <w:pgSz w:w="12240" w:h="15840"/>
      <w:pgMar w:top="1440" w:right="1440" w:bottom="1440" w:left="1440" w:header="648" w:footer="64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olor w:val="5C6773"/>
        <w:sz w:val="18"/>
      </w:rPr>
      <w:t xml:space="preserve">第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3" w:color="D6DEE6"/>
      </w:pBdr>
    </w:pPr>
    <w:r>
      <w:rPr>
        <w:rFonts w:ascii="Calibri" w:hAnsi="Calibri" w:eastAsia="Microsoft YaHei"/>
        <w:b/>
        <w:color w:val="5C6773"/>
        <w:sz w:val="18"/>
      </w:rPr>
      <w:t>韩国上市公司数字化战略研究 | 正式实证报告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jc w:val="both"/>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eastAsia="Microsoft YaHe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eastAsia="Microsoft YaHe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