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Malgun Gothic"/>
          <w:b/>
          <w:color w:val="2E74B5"/>
          <w:sz w:val="22"/>
        </w:rPr>
        <w:t>공식 실증분석 보고서</w:t>
      </w:r>
    </w:p>
    <w:p>
      <w:pPr>
        <w:spacing w:after="200"/>
        <w:jc w:val="center"/>
      </w:pPr>
      <w:r>
        <w:rPr>
          <w:rFonts w:ascii="Calibri" w:hAnsi="Calibri" w:eastAsia="Malgun Gothic"/>
          <w:b/>
          <w:color w:val="1F4D78"/>
          <w:sz w:val="52"/>
        </w:rPr>
        <w:t>기업 디지털 전략의 이중 구동 효과</w:t>
      </w:r>
    </w:p>
    <w:p>
      <w:pPr>
        <w:spacing w:after="600"/>
        <w:jc w:val="center"/>
      </w:pPr>
      <w:r>
        <w:rPr>
          <w:rFonts w:ascii="Calibri" w:hAnsi="Calibri" w:eastAsia="Malgun Gothic"/>
          <w:color w:val="2E74B5"/>
          <w:sz w:val="28"/>
        </w:rPr>
        <w:t>내부 비즈니스 모델 재구성과 외부 자본시장 신호: 한국 상장기업의 증거</w:t>
      </w:r>
    </w:p>
    <w:p>
      <w:pPr>
        <w:pBdr>
          <w:bottom w:val="single" w:sz="10" w:space="6" w:color="2E74B5"/>
        </w:pBdr>
      </w:pPr>
    </w:p>
    <w:p/>
    <w:p/>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000"/>
        <w:gridCol w:w="7360"/>
      </w:tblGrid>
      <w:tr>
        <w:trPr>
          <w:cantSplit/>
        </w:trPr>
        <w:tc>
          <w:tcPr>
            <w:tcW w:type="dxa" w:w="20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20"/>
              </w:rPr>
              <w:t>표본</w:t>
            </w:r>
          </w:p>
        </w:tc>
        <w:tc>
          <w:tcPr>
            <w:tcW w:type="dxa" w:w="736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20"/>
              </w:rPr>
              <w:t>2,402개 기업, 22,654개 기업-연도</w:t>
            </w:r>
          </w:p>
        </w:tc>
      </w:tr>
      <w:tr>
        <w:trPr>
          <w:cantSplit/>
        </w:trPr>
        <w:tc>
          <w:tcPr>
            <w:tcW w:type="dxa" w:w="2000"/>
            <w:vAlign w:val="center"/>
            <w:tcMar>
              <w:top w:w="80" w:type="dxa"/>
              <w:start w:w="120" w:type="dxa"/>
              <w:bottom w:w="80" w:type="dxa"/>
              <w:end w:w="120" w:type="dxa"/>
            </w:tcMar>
          </w:tcPr>
          <w:p>
            <w:pPr>
              <w:spacing w:after="0" w:line="252" w:lineRule="auto"/>
            </w:pPr>
            <w:r>
              <w:rPr>
                <w:rFonts w:ascii="Calibri" w:hAnsi="Calibri" w:eastAsia="Malgun Gothic"/>
                <w:color w:val="1F2933"/>
                <w:sz w:val="20"/>
              </w:rPr>
              <w:t>기간</w:t>
            </w:r>
          </w:p>
        </w:tc>
        <w:tc>
          <w:tcPr>
            <w:tcW w:type="dxa" w:w="7360"/>
            <w:vAlign w:val="center"/>
            <w:tcMar>
              <w:top w:w="80" w:type="dxa"/>
              <w:start w:w="120" w:type="dxa"/>
              <w:bottom w:w="80" w:type="dxa"/>
              <w:end w:w="120" w:type="dxa"/>
            </w:tcMar>
          </w:tcPr>
          <w:p>
            <w:pPr>
              <w:spacing w:after="0" w:line="252" w:lineRule="auto"/>
            </w:pPr>
            <w:r>
              <w:rPr>
                <w:rFonts w:ascii="Calibri" w:hAnsi="Calibri" w:eastAsia="Malgun Gothic"/>
                <w:color w:val="1F2933"/>
                <w:sz w:val="20"/>
              </w:rPr>
              <w:t>2015-2025 회계연도</w:t>
            </w:r>
          </w:p>
        </w:tc>
      </w:tr>
      <w:tr>
        <w:trPr>
          <w:cantSplit/>
        </w:trPr>
        <w:tc>
          <w:tcPr>
            <w:tcW w:type="dxa" w:w="2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20"/>
              </w:rPr>
              <w:t>자료</w:t>
            </w:r>
          </w:p>
        </w:tc>
        <w:tc>
          <w:tcPr>
            <w:tcW w:type="dxa" w:w="73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20"/>
              </w:rPr>
              <w:t>DART 한국어 사업보고서, OpenDART 재무자료, 한국 주가 및 시장지수</w:t>
            </w:r>
          </w:p>
        </w:tc>
      </w:tr>
      <w:tr>
        <w:trPr>
          <w:cantSplit/>
        </w:trPr>
        <w:tc>
          <w:tcPr>
            <w:tcW w:type="dxa" w:w="2000"/>
            <w:vAlign w:val="center"/>
            <w:tcMar>
              <w:top w:w="80" w:type="dxa"/>
              <w:start w:w="120" w:type="dxa"/>
              <w:bottom w:w="80" w:type="dxa"/>
              <w:end w:w="120" w:type="dxa"/>
            </w:tcMar>
          </w:tcPr>
          <w:p>
            <w:pPr>
              <w:spacing w:after="0" w:line="252" w:lineRule="auto"/>
            </w:pPr>
            <w:r>
              <w:rPr>
                <w:rFonts w:ascii="Calibri" w:hAnsi="Calibri" w:eastAsia="Malgun Gothic"/>
                <w:color w:val="1F2933"/>
                <w:sz w:val="20"/>
              </w:rPr>
              <w:t>버전</w:t>
            </w:r>
          </w:p>
        </w:tc>
        <w:tc>
          <w:tcPr>
            <w:tcW w:type="dxa" w:w="7360"/>
            <w:vAlign w:val="center"/>
            <w:tcMar>
              <w:top w:w="80" w:type="dxa"/>
              <w:start w:w="120" w:type="dxa"/>
              <w:bottom w:w="80" w:type="dxa"/>
              <w:end w:w="120" w:type="dxa"/>
            </w:tcMar>
          </w:tcPr>
          <w:p>
            <w:pPr>
              <w:spacing w:after="0" w:line="252" w:lineRule="auto"/>
            </w:pPr>
            <w:r>
              <w:rPr>
                <w:rFonts w:ascii="Calibri" w:hAnsi="Calibri" w:eastAsia="Malgun Gothic"/>
                <w:color w:val="1F2933"/>
                <w:sz w:val="20"/>
              </w:rPr>
              <w:t>동결자료 및 모형감사 공식본, 2026-08-16</w:t>
            </w:r>
          </w:p>
        </w:tc>
      </w:tr>
    </w:tbl>
    <w:p>
      <w:pPr>
        <w:spacing w:after="20"/>
      </w:pPr>
    </w:p>
    <w:p>
      <w:r>
        <w:br w:type="page"/>
      </w:r>
    </w:p>
    <w:p>
      <w:pPr>
        <w:pStyle w:val="Heading1"/>
      </w:pPr>
      <w:r>
        <w:t>보고서 구성</w:t>
      </w:r>
    </w:p>
    <w:p>
      <w:pPr>
        <w:pStyle w:val="ListBullet"/>
        <w:spacing w:after="80" w:line="290" w:lineRule="auto"/>
      </w:pPr>
      <w:r>
        <w:rPr>
          <w:rFonts w:ascii="Calibri" w:hAnsi="Calibri" w:eastAsia="Malgun Gothic"/>
          <w:color w:val="1F2933"/>
          <w:sz w:val="22"/>
        </w:rPr>
        <w:t>요약</w:t>
      </w:r>
    </w:p>
    <w:p>
      <w:pPr>
        <w:pStyle w:val="ListBullet"/>
        <w:spacing w:after="80" w:line="290" w:lineRule="auto"/>
      </w:pPr>
      <w:r>
        <w:rPr>
          <w:rFonts w:ascii="Calibri" w:hAnsi="Calibri" w:eastAsia="Malgun Gothic"/>
          <w:color w:val="1F2933"/>
          <w:sz w:val="22"/>
        </w:rPr>
        <w:t>연구질문과 이론적 논리</w:t>
      </w:r>
    </w:p>
    <w:p>
      <w:pPr>
        <w:pStyle w:val="ListBullet"/>
        <w:spacing w:after="80" w:line="290" w:lineRule="auto"/>
      </w:pPr>
      <w:r>
        <w:rPr>
          <w:rFonts w:ascii="Calibri" w:hAnsi="Calibri" w:eastAsia="Malgun Gothic"/>
          <w:color w:val="1F2933"/>
          <w:sz w:val="22"/>
        </w:rPr>
        <w:t>자료와 표본구축</w:t>
      </w:r>
    </w:p>
    <w:p>
      <w:pPr>
        <w:pStyle w:val="ListBullet"/>
        <w:spacing w:after="80" w:line="290" w:lineRule="auto"/>
      </w:pPr>
      <w:r>
        <w:rPr>
          <w:rFonts w:ascii="Calibri" w:hAnsi="Calibri" w:eastAsia="Malgun Gothic"/>
          <w:color w:val="1F2933"/>
          <w:sz w:val="22"/>
        </w:rPr>
        <w:t>문장수준 디지털 전략 측정</w:t>
      </w:r>
    </w:p>
    <w:p>
      <w:pPr>
        <w:pStyle w:val="ListBullet"/>
        <w:spacing w:after="80" w:line="290" w:lineRule="auto"/>
      </w:pPr>
      <w:r>
        <w:rPr>
          <w:rFonts w:ascii="Calibri" w:hAnsi="Calibri" w:eastAsia="Malgun Gothic"/>
          <w:color w:val="1F2933"/>
          <w:sz w:val="22"/>
        </w:rPr>
        <w:t>변수와 모형</w:t>
      </w:r>
    </w:p>
    <w:p>
      <w:pPr>
        <w:pStyle w:val="ListBullet"/>
        <w:spacing w:after="80" w:line="290" w:lineRule="auto"/>
      </w:pPr>
      <w:r>
        <w:rPr>
          <w:rFonts w:ascii="Calibri" w:hAnsi="Calibri" w:eastAsia="Malgun Gothic"/>
          <w:color w:val="1F2933"/>
          <w:sz w:val="22"/>
        </w:rPr>
        <w:t>내부 경영성과</w:t>
      </w:r>
    </w:p>
    <w:p>
      <w:pPr>
        <w:pStyle w:val="ListBullet"/>
        <w:spacing w:after="80" w:line="290" w:lineRule="auto"/>
      </w:pPr>
      <w:r>
        <w:rPr>
          <w:rFonts w:ascii="Calibri" w:hAnsi="Calibri" w:eastAsia="Malgun Gothic"/>
          <w:color w:val="1F2933"/>
          <w:sz w:val="22"/>
        </w:rPr>
        <w:t>자본시장 반응</w:t>
      </w:r>
    </w:p>
    <w:p>
      <w:pPr>
        <w:pStyle w:val="ListBullet"/>
        <w:spacing w:after="80" w:line="290" w:lineRule="auto"/>
      </w:pPr>
      <w:r>
        <w:rPr>
          <w:rFonts w:ascii="Calibri" w:hAnsi="Calibri" w:eastAsia="Malgun Gothic"/>
          <w:color w:val="1F2933"/>
          <w:sz w:val="22"/>
        </w:rPr>
        <w:t>동시공시 감사</w:t>
      </w:r>
    </w:p>
    <w:p>
      <w:pPr>
        <w:pStyle w:val="ListBullet"/>
        <w:spacing w:after="80" w:line="290" w:lineRule="auto"/>
      </w:pPr>
      <w:r>
        <w:rPr>
          <w:rFonts w:ascii="Calibri" w:hAnsi="Calibri" w:eastAsia="Malgun Gothic"/>
          <w:color w:val="1F2933"/>
          <w:sz w:val="22"/>
        </w:rPr>
        <w:t>비선형성·메커니즘·강건성</w:t>
      </w:r>
    </w:p>
    <w:p>
      <w:pPr>
        <w:pStyle w:val="ListBullet"/>
        <w:spacing w:after="80" w:line="290" w:lineRule="auto"/>
      </w:pPr>
      <w:r>
        <w:rPr>
          <w:rFonts w:ascii="Calibri" w:hAnsi="Calibri" w:eastAsia="Malgun Gothic"/>
          <w:color w:val="1F2933"/>
          <w:sz w:val="22"/>
        </w:rPr>
        <w:t>원인 해석: 엄격한 모형에서 유의성이 사라지는 이유</w:t>
      </w:r>
    </w:p>
    <w:p>
      <w:pPr>
        <w:pStyle w:val="ListBullet"/>
        <w:spacing w:after="80" w:line="290" w:lineRule="auto"/>
      </w:pPr>
      <w:r>
        <w:rPr>
          <w:rFonts w:ascii="Calibri" w:hAnsi="Calibri" w:eastAsia="Malgun Gothic"/>
          <w:color w:val="1F2933"/>
          <w:sz w:val="22"/>
        </w:rPr>
        <w:t>한국 제도환경과 외생충격</w:t>
      </w:r>
    </w:p>
    <w:p>
      <w:pPr>
        <w:pStyle w:val="ListBullet"/>
        <w:spacing w:after="80" w:line="290" w:lineRule="auto"/>
      </w:pPr>
      <w:r>
        <w:rPr>
          <w:rFonts w:ascii="Calibri" w:hAnsi="Calibri" w:eastAsia="Malgun Gothic"/>
          <w:color w:val="1F2933"/>
          <w:sz w:val="22"/>
        </w:rPr>
        <w:t>결론·기여·한계</w:t>
      </w:r>
    </w:p>
    <w:p>
      <w:pPr>
        <w:pStyle w:val="ListBullet"/>
        <w:spacing w:after="80" w:line="290" w:lineRule="auto"/>
      </w:pPr>
      <w:r>
        <w:rPr>
          <w:rFonts w:ascii="Calibri" w:hAnsi="Calibri" w:eastAsia="Malgun Gothic"/>
          <w:color w:val="1F2933"/>
          <w:sz w:val="22"/>
        </w:rPr>
        <w:t>재현 및 파일안내</w:t>
      </w:r>
    </w:p>
    <w:p>
      <w:pPr>
        <w:pStyle w:val="ListBullet"/>
        <w:spacing w:after="80" w:line="290" w:lineRule="auto"/>
      </w:pPr>
      <w:r>
        <w:rPr>
          <w:rFonts w:ascii="Calibri" w:hAnsi="Calibri" w:eastAsia="Malgun Gothic"/>
          <w:color w:val="1F2933"/>
          <w:sz w:val="22"/>
        </w:rPr>
        <w:t>참고자료</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4F6F9"/>
          </w:tcPr>
          <w:p>
            <w:pPr>
              <w:spacing w:after="0" w:line="288" w:lineRule="auto"/>
            </w:pPr>
            <w:r>
              <w:rPr>
                <w:rFonts w:ascii="Calibri" w:hAnsi="Calibri" w:eastAsia="Malgun Gothic"/>
                <w:b/>
                <w:color w:val="1F4D78"/>
                <w:sz w:val="22"/>
              </w:rPr>
              <w:t xml:space="preserve">해석 안내 </w:t>
            </w:r>
            <w:r>
              <w:rPr>
                <w:rFonts w:ascii="Calibri" w:hAnsi="Calibri" w:eastAsia="Malgun Gothic"/>
                <w:color w:val="1F2933"/>
                <w:sz w:val="22"/>
              </w:rPr>
              <w:t>본 보고서는 확인적 모형, 탐색적 모형, 추가자료가 필요한 인과확장을 구분한다. 통계적 비유의성은 모든 경제적 메커니즘의 부재를 뜻하지 않지만 지지증거로 재해석할 수 없다.</w:t>
            </w:r>
          </w:p>
        </w:tc>
      </w:tr>
    </w:tbl>
    <w:p>
      <w:pPr>
        <w:spacing w:after="40"/>
      </w:pPr>
    </w:p>
    <w:p>
      <w:pPr>
        <w:pStyle w:val="Heading1"/>
      </w:pPr>
      <w:r>
        <w:t>1. 요약</w:t>
      </w:r>
    </w:p>
    <w:p>
      <w:pPr>
        <w:spacing w:before="0" w:after="160" w:line="320" w:lineRule="auto"/>
        <w:jc w:val="both"/>
      </w:pPr>
      <w:r>
        <w:rPr>
          <w:rFonts w:ascii="Calibri" w:hAnsi="Calibri" w:eastAsia="Malgun Gothic"/>
          <w:b w:val="0"/>
          <w:i w:val="0"/>
          <w:color w:val="1F2933"/>
          <w:sz w:val="22"/>
        </w:rPr>
        <w:t>본 연구는 한국 상장기업을 대상으로 기업의 디지털 전략을 단순 키워드 빈도가 아니라 사업보고서에서 식별되는 실질적 디지털 행동으로 재정의한다. 동결 패널은 2,402개 기업, 22,654개 기업-연도, 2015-2025 회계연도를 포함한다. 핵심 설명변수는 중복제거 총문장 중 실질 디지털 행동문장의 비율이며 비즈니스모델 재구성, 운영 디지털화, 순수신호와 상투적 공시를 추가로 구분한다.</w:t>
      </w:r>
    </w:p>
    <w:p>
      <w:pPr>
        <w:spacing w:before="0" w:after="160" w:line="320" w:lineRule="auto"/>
        <w:jc w:val="both"/>
      </w:pPr>
      <w:r>
        <w:rPr>
          <w:rFonts w:ascii="Calibri" w:hAnsi="Calibri" w:eastAsia="Malgun Gothic"/>
          <w:b w:val="0"/>
          <w:i w:val="0"/>
          <w:color w:val="1F2933"/>
          <w:sz w:val="22"/>
        </w:rPr>
        <w:t>내부 경로는 차기 매출성장률, 차기 ROA와 차기 영업이익률로 측정하고 기업 및 연도 고정효과와 기업 군집표준오차를 사용한다. 세 확인적 결과는 모두 유의하지 않았으며 대체 측정, 영(0)값 처리, 기업추세, 1차 차분, 확장 통제와 텍스트 시점 제한에서도 일관된 양(+) 또는 비선형 증거가 나타나지 않았다.</w:t>
      </w:r>
    </w:p>
    <w:p>
      <w:pPr>
        <w:spacing w:before="0" w:after="160" w:line="320" w:lineRule="auto"/>
        <w:jc w:val="both"/>
      </w:pPr>
      <w:r>
        <w:rPr>
          <w:rFonts w:ascii="Calibri" w:hAnsi="Calibri" w:eastAsia="Malgun Gothic"/>
          <w:b w:val="0"/>
          <w:i w:val="0"/>
          <w:color w:val="1F2933"/>
          <w:sz w:val="22"/>
        </w:rPr>
        <w:t>외부 경로는 공시거래일에 엄격히 정렬한 CAR[0,+2]로 측정한다. 기업 고정효과, 사건일 고정효과 및 기업/사건일 이중 군집을 적용한 선호모형의 계수는 -0.002692(표준오차 0.001449, p=0.063, FDR=0.129)이다. 디지털 전략 1표준편차 증가는 약 0.269%p 낮은 3일 CAR과 연관되지만 이는 경계적인 음(-)의 상관이다. 시차 통제모형은 유의하지 않고 미래수준 위약검정이 실패하므로 식별된 시장페널티로 해석할 수 없다.</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FF4DE"/>
          </w:tcPr>
          <w:p>
            <w:pPr>
              <w:spacing w:after="0" w:line="288" w:lineRule="auto"/>
            </w:pPr>
            <w:r>
              <w:rPr>
                <w:rFonts w:ascii="Calibri" w:hAnsi="Calibri" w:eastAsia="Malgun Gothic"/>
                <w:b/>
                <w:color w:val="1F4D78"/>
                <w:sz w:val="22"/>
              </w:rPr>
              <w:t xml:space="preserve">공식 결론 </w:t>
            </w:r>
            <w:r>
              <w:rPr>
                <w:rFonts w:ascii="Calibri" w:hAnsi="Calibri" w:eastAsia="Malgun Gothic"/>
                <w:color w:val="1F2933"/>
                <w:sz w:val="22"/>
              </w:rPr>
              <w:t>실질 디지털 행동 공시는 단기 경영성과 개선과 강건하게 연결되지 않았다. 자본시장은 강한 공시에 약한 음(-)의 가격반응을 보일 가능성이 있으나 다중검정, 모형민감성과 위약검정 때문에 신중한 해석이 필요하다. 엄격한 텍스트 측정과 시점정렬, 그리고 ‘공시와 실행의 구분’이 본 연구의 핵심 기여이다.</w:t>
            </w:r>
          </w:p>
        </w:tc>
      </w:tr>
    </w:tbl>
    <w:p>
      <w:pPr>
        <w:spacing w:after="40"/>
      </w:pPr>
    </w:p>
    <w:p>
      <w:pPr>
        <w:pStyle w:val="Heading1"/>
      </w:pPr>
      <w:r>
        <w:t>2. 연구질문과 이론적 논리</w:t>
      </w:r>
    </w:p>
    <w:p>
      <w:pPr>
        <w:spacing w:before="0" w:after="160" w:line="320" w:lineRule="auto"/>
        <w:jc w:val="both"/>
      </w:pPr>
      <w:r>
        <w:rPr>
          <w:rFonts w:ascii="Calibri" w:hAnsi="Calibri" w:eastAsia="Malgun Gothic"/>
          <w:b w:val="0"/>
          <w:i w:val="0"/>
          <w:color w:val="1F2933"/>
          <w:sz w:val="22"/>
        </w:rPr>
        <w:t>연구의 중심 논리는 하나의 디지털 전략이 서로 다른 시간과 평가기제를 통해 두 경로로 작동한다는 것이다. 내부 경로는 조직역량, 프로세스와 비즈니스모델 재구성으로서 보완자산, 학습과 실행기간을 거쳐 경영성과로 전환된다. 외부 경로에서는 투자자가 사업보고서의 디지털 행동을 즉시 관찰하지만 동시에 실행비용, 실현확률, 정보복잡성과 경영자 홍보동기를 평가한다.</w:t>
      </w:r>
    </w:p>
    <w:p>
      <w:pPr>
        <w:spacing w:before="0" w:after="160" w:line="320" w:lineRule="auto"/>
        <w:jc w:val="both"/>
      </w:pPr>
      <w:r>
        <w:rPr>
          <w:rFonts w:ascii="Calibri" w:hAnsi="Calibri" w:eastAsia="Malgun Gothic"/>
          <w:b w:val="0"/>
          <w:i w:val="0"/>
          <w:color w:val="1F2933"/>
          <w:sz w:val="22"/>
        </w:rPr>
        <w:t>따라서 내부효과와 공시일 시장반응은 동일한 부호나 시점에 나타날 필요가 없다. 단기 경영성과는 전환비용과 사업주기 때문에 0에 가까울 수 있고 공시일 반응은 성장기회와 함께 자본지출·조직변화·실행불확실성을 반영하여 음(-)일 수 있다. 이 논리는 ‘내부 단기 비유의+외부 약한 음(-)’을 이론적으로 연결하지만 통계적 증거의 한계를 넘어서지는 않는다.</w:t>
      </w:r>
    </w:p>
    <w:p>
      <w:pPr>
        <w:pStyle w:val="ListBullet"/>
        <w:spacing w:after="80" w:line="290" w:lineRule="auto"/>
      </w:pPr>
      <w:r>
        <w:rPr>
          <w:rFonts w:ascii="Calibri" w:hAnsi="Calibri" w:eastAsia="Malgun Gothic"/>
          <w:color w:val="1F2933"/>
          <w:sz w:val="22"/>
        </w:rPr>
        <w:t>연구질문 1: 실질적 디지털 전략 공시는 차기 경영성과를 예측하는가?</w:t>
      </w:r>
    </w:p>
    <w:p>
      <w:pPr>
        <w:pStyle w:val="ListBullet"/>
        <w:spacing w:after="80" w:line="290" w:lineRule="auto"/>
      </w:pPr>
      <w:r>
        <w:rPr>
          <w:rFonts w:ascii="Calibri" w:hAnsi="Calibri" w:eastAsia="Malgun Gothic"/>
          <w:color w:val="1F2933"/>
          <w:sz w:val="22"/>
        </w:rPr>
        <w:t>연구질문 2: 비즈니스모델 재구성은 내부 작동경로를 구성하거나 조절하는가?</w:t>
      </w:r>
    </w:p>
    <w:p>
      <w:pPr>
        <w:pStyle w:val="ListBullet"/>
        <w:spacing w:after="80" w:line="290" w:lineRule="auto"/>
      </w:pPr>
      <w:r>
        <w:rPr>
          <w:rFonts w:ascii="Calibri" w:hAnsi="Calibri" w:eastAsia="Malgun Gothic"/>
          <w:color w:val="1F2933"/>
          <w:sz w:val="22"/>
        </w:rPr>
        <w:t>연구질문 3: 자본시장은 연차보고서 공시창에서 디지털 전략을 가격에 반영하는가?</w:t>
      </w:r>
    </w:p>
    <w:p>
      <w:pPr>
        <w:pStyle w:val="ListBullet"/>
        <w:spacing w:after="80" w:line="290" w:lineRule="auto"/>
      </w:pPr>
      <w:r>
        <w:rPr>
          <w:rFonts w:ascii="Calibri" w:hAnsi="Calibri" w:eastAsia="Malgun Gothic"/>
          <w:color w:val="1F2933"/>
          <w:sz w:val="22"/>
        </w:rPr>
        <w:t>연구질문 4: 비선형성, 시장 이질성 또는 상투적 신호가 관계를 변화시키는가?</w:t>
      </w:r>
    </w:p>
    <w:p>
      <w:pPr>
        <w:pStyle w:val="Heading1"/>
      </w:pPr>
      <w:r>
        <w:t>3. 자료와 표본구축</w:t>
      </w:r>
    </w:p>
    <w:p>
      <w:pPr>
        <w:spacing w:before="0" w:after="160" w:line="320" w:lineRule="auto"/>
        <w:jc w:val="both"/>
      </w:pPr>
      <w:r>
        <w:rPr>
          <w:rFonts w:ascii="Calibri" w:hAnsi="Calibri" w:eastAsia="Malgun Gothic"/>
          <w:b w:val="0"/>
          <w:i w:val="0"/>
          <w:color w:val="1F2933"/>
          <w:sz w:val="22"/>
        </w:rPr>
        <w:t>기업 모표는 DART/OpenDART에서 구축하고 안정적인 corp_code로 기업명, 종목코드, 시장구분과 회계연도를 연결하였다. 영문 연차보고서는 선택성과 장기 결측이 커서 본문 텍스트는 한국어 DART 사업보고서를 우선 사용하였다. 재무제표는 연결기준을 우선하며 기업-회계연도로 텍스트와 결합하였다.</w:t>
      </w:r>
    </w:p>
    <w:p>
      <w:pPr>
        <w:spacing w:before="0" w:after="160" w:line="320" w:lineRule="auto"/>
        <w:jc w:val="both"/>
      </w:pPr>
      <w:r>
        <w:rPr>
          <w:rFonts w:ascii="Calibri" w:hAnsi="Calibri" w:eastAsia="Malgun Gothic"/>
          <w:b w:val="0"/>
          <w:i w:val="0"/>
          <w:color w:val="1F2933"/>
          <w:sz w:val="22"/>
        </w:rPr>
        <w:t>주가분석의 사건일은 회계연도 말이나 최초 보고일이 아니라 실제 분석한 텍스트가 시장에서 관찰된 공시일이다. 정정텍스트는 사용한 문서버전과 사건일을 일치시키고 비거래일은 다음 거래일로 이동하였다. 시장모형 추정창과 사건창은 개별주식 및 KOSPI/KOSDAQ 지수 일별자료로 구성하였다.</w:t>
      </w:r>
    </w:p>
    <w:p>
      <w:pPr>
        <w:spacing w:before="0" w:after="160" w:line="320" w:lineRule="auto"/>
        <w:jc w:val="both"/>
      </w:pPr>
      <w:r>
        <w:rPr>
          <w:rFonts w:ascii="Calibri" w:hAnsi="Calibri" w:eastAsia="Malgun Gothic"/>
          <w:b w:val="0"/>
          <w:i w:val="0"/>
          <w:color w:val="1F2933"/>
          <w:sz w:val="22"/>
        </w:rPr>
        <w:t>동결 주패널은 22,654개 기업-연도와 2,402개 기업으로 구성되며 중복 기업-연도는 0개이다. 디지털 전략이 0인 기업-연도 비중은 51.56%로 영(0)값 집중과 높은 기업내 지속성이 실질적 측정·식별 제약임을 보여준다.</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000"/>
        <w:gridCol w:w="1700"/>
        <w:gridCol w:w="1600"/>
        <w:gridCol w:w="2600"/>
        <w:gridCol w:w="2460"/>
      </w:tblGrid>
      <w:tr>
        <w:trPr>
          <w:cantSplit/>
        </w:trPr>
        <w:tc>
          <w:tcPr>
            <w:tcW w:type="dxa" w:w="10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연도</w:t>
            </w:r>
          </w:p>
        </w:tc>
        <w:tc>
          <w:tcPr>
            <w:tcW w:type="dxa" w:w="17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기업-연도</w:t>
            </w:r>
          </w:p>
        </w:tc>
        <w:tc>
          <w:tcPr>
            <w:tcW w:type="dxa" w:w="16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기업수</w:t>
            </w:r>
          </w:p>
        </w:tc>
        <w:tc>
          <w:tcPr>
            <w:tcW w:type="dxa" w:w="26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평균 DigitalStrategy</w:t>
            </w:r>
          </w:p>
        </w:tc>
        <w:tc>
          <w:tcPr>
            <w:tcW w:type="dxa" w:w="246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양(+)값 비중</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2015</w:t>
            </w:r>
          </w:p>
        </w:tc>
        <w:tc>
          <w:tcPr>
            <w:tcW w:type="dxa" w:w="17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1,734</w:t>
            </w:r>
          </w:p>
        </w:tc>
        <w:tc>
          <w:tcPr>
            <w:tcW w:type="dxa" w:w="1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1,734</w:t>
            </w:r>
          </w:p>
        </w:tc>
        <w:tc>
          <w:tcPr>
            <w:tcW w:type="dxa" w:w="2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0.122%</w:t>
            </w:r>
          </w:p>
        </w:tc>
        <w:tc>
          <w:tcPr>
            <w:tcW w:type="dxa" w:w="2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34.2%</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2016</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1,799</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1,799</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0.126%</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36.6%</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2017</w:t>
            </w:r>
          </w:p>
        </w:tc>
        <w:tc>
          <w:tcPr>
            <w:tcW w:type="dxa" w:w="17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1,885</w:t>
            </w:r>
          </w:p>
        </w:tc>
        <w:tc>
          <w:tcPr>
            <w:tcW w:type="dxa" w:w="1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1,885</w:t>
            </w:r>
          </w:p>
        </w:tc>
        <w:tc>
          <w:tcPr>
            <w:tcW w:type="dxa" w:w="2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0.132%</w:t>
            </w:r>
          </w:p>
        </w:tc>
        <w:tc>
          <w:tcPr>
            <w:tcW w:type="dxa" w:w="2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40.4%</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2018</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1,956</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1,956</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0.139%</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42.9%</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2019</w:t>
            </w:r>
          </w:p>
        </w:tc>
        <w:tc>
          <w:tcPr>
            <w:tcW w:type="dxa" w:w="17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2,023</w:t>
            </w:r>
          </w:p>
        </w:tc>
        <w:tc>
          <w:tcPr>
            <w:tcW w:type="dxa" w:w="1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2,023</w:t>
            </w:r>
          </w:p>
        </w:tc>
        <w:tc>
          <w:tcPr>
            <w:tcW w:type="dxa" w:w="2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0.150%</w:t>
            </w:r>
          </w:p>
        </w:tc>
        <w:tc>
          <w:tcPr>
            <w:tcW w:type="dxa" w:w="2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44.9%</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2020</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2,104</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2,104</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0.172%</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48.8%</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2021</w:t>
            </w:r>
          </w:p>
        </w:tc>
        <w:tc>
          <w:tcPr>
            <w:tcW w:type="dxa" w:w="17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2,158</w:t>
            </w:r>
          </w:p>
        </w:tc>
        <w:tc>
          <w:tcPr>
            <w:tcW w:type="dxa" w:w="1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2,158</w:t>
            </w:r>
          </w:p>
        </w:tc>
        <w:tc>
          <w:tcPr>
            <w:tcW w:type="dxa" w:w="2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0.200%</w:t>
            </w:r>
          </w:p>
        </w:tc>
        <w:tc>
          <w:tcPr>
            <w:tcW w:type="dxa" w:w="2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50.9%</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2022</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2,206</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2,206</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0.220%</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53.9%</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2023</w:t>
            </w:r>
          </w:p>
        </w:tc>
        <w:tc>
          <w:tcPr>
            <w:tcW w:type="dxa" w:w="17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2,281</w:t>
            </w:r>
          </w:p>
        </w:tc>
        <w:tc>
          <w:tcPr>
            <w:tcW w:type="dxa" w:w="1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2,281</w:t>
            </w:r>
          </w:p>
        </w:tc>
        <w:tc>
          <w:tcPr>
            <w:tcW w:type="dxa" w:w="2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0.234%</w:t>
            </w:r>
          </w:p>
        </w:tc>
        <w:tc>
          <w:tcPr>
            <w:tcW w:type="dxa" w:w="2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56.5%</w:t>
            </w:r>
          </w:p>
        </w:tc>
      </w:tr>
      <w:tr>
        <w:trPr>
          <w:cantSplit/>
        </w:trPr>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2024</w:t>
            </w:r>
          </w:p>
        </w:tc>
        <w:tc>
          <w:tcPr>
            <w:tcW w:type="dxa" w:w="17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2,263</w:t>
            </w:r>
          </w:p>
        </w:tc>
        <w:tc>
          <w:tcPr>
            <w:tcW w:type="dxa" w:w="1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2,263</w:t>
            </w:r>
          </w:p>
        </w:tc>
        <w:tc>
          <w:tcPr>
            <w:tcW w:type="dxa" w:w="2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0.239%</w:t>
            </w:r>
          </w:p>
        </w:tc>
        <w:tc>
          <w:tcPr>
            <w:tcW w:type="dxa" w:w="2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56.8%</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2025</w:t>
            </w:r>
          </w:p>
        </w:tc>
        <w:tc>
          <w:tcPr>
            <w:tcW w:type="dxa" w:w="17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2,245</w:t>
            </w:r>
          </w:p>
        </w:tc>
        <w:tc>
          <w:tcPr>
            <w:tcW w:type="dxa" w:w="1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2,245</w:t>
            </w:r>
          </w:p>
        </w:tc>
        <w:tc>
          <w:tcPr>
            <w:tcW w:type="dxa" w:w="26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0.251%</w:t>
            </w:r>
          </w:p>
        </w:tc>
        <w:tc>
          <w:tcPr>
            <w:tcW w:type="dxa" w:w="2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59.1%</w:t>
            </w:r>
          </w:p>
        </w:tc>
      </w:tr>
    </w:tbl>
    <w:p>
      <w:pPr>
        <w:spacing w:after="20"/>
      </w:pPr>
    </w:p>
    <w:p>
      <w:pPr>
        <w:jc w:val="center"/>
      </w:pPr>
      <w:r>
        <w:drawing>
          <wp:inline xmlns:a="http://schemas.openxmlformats.org/drawingml/2006/main" xmlns:pic="http://schemas.openxmlformats.org/drawingml/2006/picture">
            <wp:extent cx="5760720" cy="3131428"/>
            <wp:docPr id="1" name="Picture 1"/>
            <wp:cNvGraphicFramePr>
              <a:graphicFrameLocks noChangeAspect="1"/>
            </wp:cNvGraphicFramePr>
            <a:graphic>
              <a:graphicData uri="http://schemas.openxmlformats.org/drawingml/2006/picture">
                <pic:pic>
                  <pic:nvPicPr>
                    <pic:cNvPr id="0" name="01_数字化战略年度趋势.png"/>
                    <pic:cNvPicPr/>
                  </pic:nvPicPr>
                  <pic:blipFill>
                    <a:blip r:embed="rId11"/>
                    <a:stretch>
                      <a:fillRect/>
                    </a:stretch>
                  </pic:blipFill>
                  <pic:spPr>
                    <a:xfrm>
                      <a:off x="0" y="0"/>
                      <a:ext cx="5760720" cy="3131428"/>
                    </a:xfrm>
                    <a:prstGeom prst="rect"/>
                  </pic:spPr>
                </pic:pic>
              </a:graphicData>
            </a:graphic>
          </wp:inline>
        </w:drawing>
      </w:r>
    </w:p>
    <w:p>
      <w:pPr>
        <w:jc w:val="center"/>
      </w:pPr>
      <w:r>
        <w:rPr>
          <w:rFonts w:ascii="Calibri" w:hAnsi="Calibri" w:eastAsia="Malgun Gothic"/>
          <w:i/>
          <w:color w:val="5C6773"/>
          <w:sz w:val="18"/>
        </w:rPr>
        <w:t>그림 1 디지털 전략의 연도별 추세</w:t>
      </w:r>
    </w:p>
    <w:p>
      <w:pPr>
        <w:pStyle w:val="Heading1"/>
      </w:pPr>
      <w:r>
        <w:t>4. 문장수준 디지털 전략 측정</w:t>
      </w:r>
    </w:p>
    <w:p>
      <w:pPr>
        <w:spacing w:before="0" w:after="160" w:line="320" w:lineRule="auto"/>
        <w:jc w:val="both"/>
      </w:pPr>
      <w:r>
        <w:rPr>
          <w:rFonts w:ascii="Calibri" w:hAnsi="Calibri" w:eastAsia="Malgun Gothic"/>
          <w:b w:val="0"/>
          <w:i w:val="0"/>
          <w:color w:val="1F2933"/>
          <w:sz w:val="22"/>
        </w:rPr>
        <w:t>측정과정은 사업보고서 본문 추출, 표·탐색메뉴 잡음 제거, 문장분할과 중복제거 후 디지털 기술대상과 행동술어를 함께 식별한다. 디지털 기술 또는 디지털 사업대상을 포함하면서 투자, 구축, 도입, 통합, 최적화, 출시, 채널 또는 수익모델 전환과 같은 관찰 가능한 행동을 표현한 문장만 실질 디지털 전략의 분자에 포함한다. 중요성, 추세, 비전 또는 디지털 시대에 대한 일반적 대응만 표현한 문장은 상투적 공시 또는 저가중 후보로 분류한다.</w:t>
      </w:r>
    </w:p>
    <w:p>
      <w:pPr>
        <w:spacing w:before="0" w:after="160" w:line="320" w:lineRule="auto"/>
        <w:jc w:val="both"/>
      </w:pPr>
      <w:r>
        <w:rPr>
          <w:rFonts w:ascii="Calibri" w:hAnsi="Calibri" w:eastAsia="Malgun Gothic"/>
          <w:b w:val="0"/>
          <w:i w:val="0"/>
          <w:color w:val="1F2933"/>
          <w:sz w:val="22"/>
        </w:rPr>
        <w:t>이론적 근거는 전략이 기술명사의 출현이 아니라 자원투입, 조직적 선택 또는 사업활동의 변화를 포함해야 한다는 점이다. 문장수준 결합조건은 digital, AI, data, platform 용어의 전반적 확산에 따른 측정오차를 줄이고 비즈니스모델 재구성과 운영기술 배치를 구분한다.</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300"/>
        <w:gridCol w:w="4660"/>
        <w:gridCol w:w="2400"/>
      </w:tblGrid>
      <w:tr>
        <w:trPr>
          <w:cantSplit/>
        </w:trPr>
        <w:tc>
          <w:tcPr>
            <w:tcW w:type="dxa" w:w="23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변수</w:t>
            </w:r>
          </w:p>
        </w:tc>
        <w:tc>
          <w:tcPr>
            <w:tcW w:type="dxa" w:w="466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정의</w:t>
            </w:r>
          </w:p>
        </w:tc>
        <w:tc>
          <w:tcPr>
            <w:tcW w:type="dxa" w:w="24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용도</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DigitalStrategy</w:t>
            </w:r>
          </w:p>
        </w:tc>
        <w:tc>
          <w:tcPr>
            <w:tcW w:type="dxa" w:w="466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실질 디지털 행동문장 / 총문장</w:t>
            </w:r>
          </w:p>
        </w:tc>
        <w:tc>
          <w:tcPr>
            <w:tcW w:type="dxa" w:w="24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주변수</w:t>
            </w:r>
          </w:p>
        </w:tc>
      </w:tr>
      <w:tr>
        <w:trPr>
          <w:cantSplit/>
        </w:trPr>
        <w:tc>
          <w:tcPr>
            <w:tcW w:type="dxa" w:w="2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BMI_Reconstruction</w:t>
            </w:r>
          </w:p>
        </w:tc>
        <w:tc>
          <w:tcPr>
            <w:tcW w:type="dxa" w:w="46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디지털 비즈니스모델 재구성문장 / 총문장</w:t>
            </w:r>
          </w:p>
        </w:tc>
        <w:tc>
          <w:tcPr>
            <w:tcW w:type="dxa" w:w="24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내부 경로</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OperationalDigital</w:t>
            </w:r>
          </w:p>
        </w:tc>
        <w:tc>
          <w:tcPr>
            <w:tcW w:type="dxa" w:w="466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max(실질행동-BMI문장,0) / 총문장</w:t>
            </w:r>
          </w:p>
        </w:tc>
        <w:tc>
          <w:tcPr>
            <w:tcW w:type="dxa" w:w="24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운영 성분</w:t>
            </w:r>
          </w:p>
        </w:tc>
      </w:tr>
      <w:tr>
        <w:trPr>
          <w:cantSplit/>
        </w:trPr>
        <w:tc>
          <w:tcPr>
            <w:tcW w:type="dxa" w:w="2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PureSignal</w:t>
            </w:r>
          </w:p>
        </w:tc>
        <w:tc>
          <w:tcPr>
            <w:tcW w:type="dxa" w:w="46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max(시장가시 디지털문장-실질행동,0) / 총문장</w:t>
            </w:r>
          </w:p>
        </w:tc>
        <w:tc>
          <w:tcPr>
            <w:tcW w:type="dxa" w:w="24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순신호 성분</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RelativeDigitalSignal</w:t>
            </w:r>
          </w:p>
        </w:tc>
        <w:tc>
          <w:tcPr>
            <w:tcW w:type="dxa" w:w="466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DigitalStrategy-산업×연도 평균</w:t>
            </w:r>
          </w:p>
        </w:tc>
        <w:tc>
          <w:tcPr>
            <w:tcW w:type="dxa" w:w="24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공통추세 조정</w:t>
            </w:r>
          </w:p>
        </w:tc>
      </w:tr>
      <w:tr>
        <w:trPr>
          <w:cantSplit/>
        </w:trPr>
        <w:tc>
          <w:tcPr>
            <w:tcW w:type="dxa" w:w="2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Boilerplate</w:t>
            </w:r>
          </w:p>
        </w:tc>
        <w:tc>
          <w:tcPr>
            <w:tcW w:type="dxa" w:w="46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상투적 디지털문장 / 총문장</w:t>
            </w:r>
          </w:p>
        </w:tc>
        <w:tc>
          <w:tcPr>
            <w:tcW w:type="dxa" w:w="24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타당성 진단</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FF4DE"/>
          </w:tcPr>
          <w:p>
            <w:pPr>
              <w:spacing w:after="0" w:line="288" w:lineRule="auto"/>
            </w:pPr>
            <w:r>
              <w:rPr>
                <w:rFonts w:ascii="Calibri" w:hAnsi="Calibri" w:eastAsia="Malgun Gothic"/>
                <w:b/>
                <w:color w:val="1F4D78"/>
                <w:sz w:val="22"/>
              </w:rPr>
              <w:t xml:space="preserve">타당성 한계 </w:t>
            </w:r>
            <w:r>
              <w:rPr>
                <w:rFonts w:ascii="Calibri" w:hAnsi="Calibri" w:eastAsia="Malgun Gothic"/>
                <w:color w:val="1F2933"/>
                <w:sz w:val="22"/>
              </w:rPr>
              <w:t>현 규칙에서 MarketSignalDisclosure와 DigitalStrategy의 상관이 거의 1이고 94.25%의 기업-연도에서 두 문장수가 동일하다. 따라서 이를 독립적인 외부 메커니즘으로 사용하지 않고 PureSignal 또는 SignalGap으로 기계적 중복을 줄인다. 독립 제2코더 홀드아웃 검증은 투고 전 실제 독립판단으로 완료해야 하며, 본 공식본은 독립적으로 완료되지 않은 일치도 수치를 증거로 사용하지 않는다.</w:t>
            </w:r>
          </w:p>
        </w:tc>
      </w:tr>
    </w:tbl>
    <w:p>
      <w:pPr>
        <w:spacing w:after="40"/>
      </w:pPr>
    </w:p>
    <w:p>
      <w:pPr>
        <w:pStyle w:val="Heading1"/>
      </w:pPr>
      <w:r>
        <w:t>5. 변수와 모형</w:t>
      </w:r>
    </w:p>
    <w:p>
      <w:pPr>
        <w:pStyle w:val="Heading2"/>
      </w:pPr>
      <w:r>
        <w:t>5.1 내부 경영모형</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4F6F9"/>
          </w:tcPr>
          <w:p>
            <w:pPr>
              <w:spacing w:after="0" w:line="288" w:lineRule="auto"/>
            </w:pPr>
            <w:r>
              <w:rPr>
                <w:rFonts w:ascii="Calibri" w:hAnsi="Calibri" w:eastAsia="Malgun Gothic"/>
                <w:b/>
                <w:color w:val="1F4D78"/>
                <w:sz w:val="22"/>
              </w:rPr>
              <w:t xml:space="preserve">모형 </w:t>
            </w:r>
            <w:r>
              <w:rPr>
                <w:rFonts w:ascii="Calibri" w:hAnsi="Calibri" w:eastAsia="Malgun Gothic"/>
                <w:color w:val="1F2933"/>
                <w:sz w:val="22"/>
              </w:rPr>
              <w:t>Y(i,t+1) = β·DigitalStrategy(i,t) + γ'X(i,t) + α(i) + λ(t) + ε(i,t)</w:t>
            </w:r>
          </w:p>
        </w:tc>
      </w:tr>
    </w:tbl>
    <w:p>
      <w:pPr>
        <w:spacing w:after="40"/>
      </w:pPr>
    </w:p>
    <w:p>
      <w:pPr>
        <w:spacing w:before="0" w:after="160" w:line="320" w:lineRule="auto"/>
        <w:jc w:val="both"/>
      </w:pPr>
      <w:r>
        <w:rPr>
          <w:rFonts w:ascii="Calibri" w:hAnsi="Calibri" w:eastAsia="Malgun Gothic"/>
          <w:b w:val="0"/>
          <w:i w:val="0"/>
          <w:color w:val="1F2933"/>
          <w:sz w:val="22"/>
        </w:rPr>
        <w:t>종속변수는 차기 매출성장률, 차기 ROA와 차기 영업이익률이다. 핵심 통제변수는 기업규모, 레버리지, 당기 ROA, 매출성장, 유동성, 영업이익률, 기업연령, 손실더미, 자본잠식더미와 보고서 길이이다. 확장모형은 자산회전율, 운전자본비율, 종업원규모와 최대주주 및 특수관계인 지분을 추가하며 2020년 이후에는 연구개발집약도와 사외이사비율도 검토한다. 연속변수는 1%와 99%에서 윈저라이징하였다.</w:t>
      </w:r>
    </w:p>
    <w:p>
      <w:pPr>
        <w:spacing w:before="0" w:after="160" w:line="320" w:lineRule="auto"/>
        <w:jc w:val="both"/>
      </w:pPr>
      <w:r>
        <w:rPr>
          <w:rFonts w:ascii="Calibri" w:hAnsi="Calibri" w:eastAsia="Malgun Gothic"/>
          <w:b w:val="0"/>
          <w:i w:val="0"/>
          <w:color w:val="1F2933"/>
          <w:sz w:val="22"/>
        </w:rPr>
        <w:t>기업 고정효과는 시간불변 경영품질, 산업포지셔닝과 기업문화를 흡수하고 연도 고정효과는 거시경제와 공통 디지털 추세를 통제한다. 기업 군집표준오차는 기업내 시계열 상관을 허용한다. 식별은 동일기업의 연도별 디지털 전략 변화에서 나오므로 높은 지속성은 유효정보와 검정력을 낮춘다.</w:t>
      </w:r>
    </w:p>
    <w:p>
      <w:pPr>
        <w:pStyle w:val="Heading2"/>
      </w:pPr>
      <w:r>
        <w:t>5.2 자본시장 모형</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4F6F9"/>
          </w:tcPr>
          <w:p>
            <w:pPr>
              <w:spacing w:after="0" w:line="288" w:lineRule="auto"/>
            </w:pPr>
            <w:r>
              <w:rPr>
                <w:rFonts w:ascii="Calibri" w:hAnsi="Calibri" w:eastAsia="Malgun Gothic"/>
                <w:b/>
                <w:color w:val="1F4D78"/>
                <w:sz w:val="22"/>
              </w:rPr>
              <w:t xml:space="preserve">모형 </w:t>
            </w:r>
            <w:r>
              <w:rPr>
                <w:rFonts w:ascii="Calibri" w:hAnsi="Calibri" w:eastAsia="Malgun Gothic"/>
                <w:color w:val="1F2933"/>
                <w:sz w:val="22"/>
              </w:rPr>
              <w:t>CAR(i,e)[0,+2] = β·DigitalStrategy(i,t) + γ'X(i,t) + α(i) + δ(e) + u(i,e)</w:t>
            </w:r>
          </w:p>
        </w:tc>
      </w:tr>
    </w:tbl>
    <w:p>
      <w:pPr>
        <w:spacing w:after="40"/>
      </w:pPr>
    </w:p>
    <w:p>
      <w:pPr>
        <w:spacing w:before="0" w:after="160" w:line="320" w:lineRule="auto"/>
        <w:jc w:val="both"/>
      </w:pPr>
      <w:r>
        <w:rPr>
          <w:rFonts w:ascii="Calibri" w:hAnsi="Calibri" w:eastAsia="Malgun Gothic"/>
          <w:b w:val="0"/>
          <w:i w:val="0"/>
          <w:color w:val="1F2933"/>
          <w:sz w:val="22"/>
        </w:rPr>
        <w:t>선호모형은 기업 고정효과와 정확한 공시거래일 고정효과를 사용하고 기업 및 공시일에 이중 군집표준오차를 적용한다. 한국 사업보고서는 법정기한 부근에 집중되므로 동일일 시장충격이 기업간 상관을 만들 수 있어 사건일 고정효과가 일반 연도효과보다 적합하다. 통제변수는 핵심 재무변수, 보고서 길이, 회계연도 주식수익률과 일별 변동성이며 시차 통제모형으로 동시적 공시결과 통제위험을 점검한다.</w:t>
      </w:r>
    </w:p>
    <w:p>
      <w:pPr>
        <w:pStyle w:val="Heading2"/>
      </w:pPr>
      <w:r>
        <w:t>5.3 비선형성과 상호작용</w:t>
      </w:r>
    </w:p>
    <w:p>
      <w:pPr>
        <w:spacing w:before="0" w:after="160" w:line="320" w:lineRule="auto"/>
        <w:jc w:val="both"/>
      </w:pPr>
      <w:r>
        <w:rPr>
          <w:rFonts w:ascii="Calibri" w:hAnsi="Calibri" w:eastAsia="Malgun Gothic"/>
          <w:b w:val="0"/>
          <w:i w:val="0"/>
          <w:color w:val="1F2933"/>
          <w:sz w:val="22"/>
        </w:rPr>
        <w:t>제곱항 모형이 자동으로 더 정확한 것은 아니다. 이론적으로 임계점, 전환비용 또는 역U자 메커니즘이 존재하고 기업내 자료가 충분한 곡률정보를 제공할 때만 비선형성이 유리하다. 본 연구는 제곱항, 양(+)값 표본의 3차항, 분위집단과 허들모형을 탐색적으로 사용하고 단일항이 아니라 결합유의성으로 곡선을 판단한다. Digital×BMI와 Digital×PureSignal은 조건부 차이를 검토하지만 인과적 매개효과로 표현하지 않는다.</w:t>
      </w:r>
    </w:p>
    <w:p>
      <w:pPr>
        <w:pStyle w:val="Heading1"/>
      </w:pPr>
      <w:r>
        <w:t>6. 내부 경영성과</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600"/>
        <w:gridCol w:w="1350"/>
        <w:gridCol w:w="1350"/>
        <w:gridCol w:w="1100"/>
        <w:gridCol w:w="1100"/>
        <w:gridCol w:w="1860"/>
      </w:tblGrid>
      <w:tr>
        <w:trPr>
          <w:cantSplit/>
        </w:trPr>
        <w:tc>
          <w:tcPr>
            <w:tcW w:type="dxa" w:w="26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종속변수</w:t>
            </w:r>
          </w:p>
        </w:tc>
        <w:tc>
          <w:tcPr>
            <w:tcW w:type="dxa" w:w="135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계수</w:t>
            </w:r>
          </w:p>
        </w:tc>
        <w:tc>
          <w:tcPr>
            <w:tcW w:type="dxa" w:w="135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표준오차</w:t>
            </w:r>
          </w:p>
        </w:tc>
        <w:tc>
          <w:tcPr>
            <w:tcW w:type="dxa" w:w="11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p값</w:t>
            </w:r>
          </w:p>
        </w:tc>
        <w:tc>
          <w:tcPr>
            <w:tcW w:type="dxa" w:w="11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FDR</w:t>
            </w:r>
          </w:p>
        </w:tc>
        <w:tc>
          <w:tcPr>
            <w:tcW w:type="dxa" w:w="186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차기 매출성장률</w:t>
            </w:r>
          </w:p>
        </w:tc>
        <w:tc>
          <w:tcPr>
            <w:tcW w:type="dxa" w:w="135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0.002791</w:t>
            </w:r>
          </w:p>
        </w:tc>
        <w:tc>
          <w:tcPr>
            <w:tcW w:type="dxa" w:w="135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0.011980</w:t>
            </w:r>
          </w:p>
        </w:tc>
        <w:tc>
          <w:tcPr>
            <w:tcW w:type="dxa" w:w="11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0.816</w:t>
            </w:r>
          </w:p>
        </w:tc>
        <w:tc>
          <w:tcPr>
            <w:tcW w:type="dxa" w:w="11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0.879</w:t>
            </w:r>
          </w:p>
        </w:tc>
        <w:tc>
          <w:tcPr>
            <w:tcW w:type="dxa" w:w="186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16,535</w:t>
            </w:r>
          </w:p>
        </w:tc>
      </w:tr>
      <w:tr>
        <w:trPr>
          <w:cantSplit/>
        </w:trPr>
        <w:tc>
          <w:tcPr>
            <w:tcW w:type="dxa" w:w="26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차기 ROA</w:t>
            </w:r>
          </w:p>
        </w:tc>
        <w:tc>
          <w:tcPr>
            <w:tcW w:type="dxa" w:w="135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-0.003709</w:t>
            </w:r>
          </w:p>
        </w:tc>
        <w:tc>
          <w:tcPr>
            <w:tcW w:type="dxa" w:w="135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0.002655</w:t>
            </w:r>
          </w:p>
        </w:tc>
        <w:tc>
          <w:tcPr>
            <w:tcW w:type="dxa" w:w="11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0.162</w:t>
            </w:r>
          </w:p>
        </w:tc>
        <w:tc>
          <w:tcPr>
            <w:tcW w:type="dxa" w:w="11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0.879</w:t>
            </w:r>
          </w:p>
        </w:tc>
        <w:tc>
          <w:tcPr>
            <w:tcW w:type="dxa" w:w="18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16,521</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차기 영업이익률</w:t>
            </w:r>
          </w:p>
        </w:tc>
        <w:tc>
          <w:tcPr>
            <w:tcW w:type="dxa" w:w="135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-0.007375</w:t>
            </w:r>
          </w:p>
        </w:tc>
        <w:tc>
          <w:tcPr>
            <w:tcW w:type="dxa" w:w="135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0.009633</w:t>
            </w:r>
          </w:p>
        </w:tc>
        <w:tc>
          <w:tcPr>
            <w:tcW w:type="dxa" w:w="11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0.444</w:t>
            </w:r>
          </w:p>
        </w:tc>
        <w:tc>
          <w:tcPr>
            <w:tcW w:type="dxa" w:w="11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0.879</w:t>
            </w:r>
          </w:p>
        </w:tc>
        <w:tc>
          <w:tcPr>
            <w:tcW w:type="dxa" w:w="186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16,521</w:t>
            </w:r>
          </w:p>
        </w:tc>
      </w:tr>
    </w:tbl>
    <w:p>
      <w:pPr>
        <w:spacing w:after="20"/>
      </w:pPr>
    </w:p>
    <w:p>
      <w:pPr>
        <w:spacing w:before="0" w:after="160" w:line="320" w:lineRule="auto"/>
        <w:jc w:val="both"/>
      </w:pPr>
      <w:r>
        <w:rPr>
          <w:rFonts w:ascii="Calibri" w:hAnsi="Calibri" w:eastAsia="Malgun Gothic"/>
          <w:b w:val="0"/>
          <w:i w:val="0"/>
          <w:color w:val="1F2933"/>
          <w:sz w:val="22"/>
        </w:rPr>
        <w:t>매출성장 계수는 0에 가깝고 ROA와 영업이익률의 점추정치는 음(-)이지만 모두 유의하지 않다. 전체 경영모형군의 디지털 핵심계수 83개 중 원 p&lt;0.05 및 FDR&lt;0.05는 모두 0개이다. 미정정 보고서, 정정시차 90일 이하 또는 275일 이하로 제한한 12개 핵심결과도 모두 비유의적이다.</w:t>
      </w:r>
    </w:p>
    <w:p>
      <w:pPr>
        <w:spacing w:before="0" w:after="160" w:line="320" w:lineRule="auto"/>
        <w:jc w:val="both"/>
      </w:pPr>
      <w:r>
        <w:rPr>
          <w:rFonts w:ascii="Calibri" w:hAnsi="Calibri" w:eastAsia="Malgun Gothic"/>
          <w:b w:val="0"/>
          <w:i w:val="0"/>
          <w:color w:val="1F2933"/>
          <w:sz w:val="22"/>
        </w:rPr>
        <w:t>이는 디지털화가 가치가 없음을 뜻하지 않는다. 보다 정확한 해석은 사업보고서에 나타난 실질행동의 상대적 공시강도가 기업내 연도변화에서 다음해 단기 회계성과를 강건하게 예측하지 못한다는 것이다. 실행효과의 시차, 선행 전환비용, 사업품질의 이질성, 언어측정과 실제투자강도의 차이, 고정효과에서 활용 가능한 변화의 부족이 가능한 이유이다.</w:t>
      </w:r>
    </w:p>
    <w:p>
      <w:pPr>
        <w:pStyle w:val="Heading1"/>
      </w:pPr>
      <w:r>
        <w:t>7. 자본시장 반응</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3300"/>
        <w:gridCol w:w="1300"/>
        <w:gridCol w:w="1300"/>
        <w:gridCol w:w="1000"/>
        <w:gridCol w:w="1000"/>
        <w:gridCol w:w="1460"/>
      </w:tblGrid>
      <w:tr>
        <w:trPr>
          <w:cantSplit/>
        </w:trPr>
        <w:tc>
          <w:tcPr>
            <w:tcW w:type="dxa" w:w="33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모형</w:t>
            </w:r>
          </w:p>
        </w:tc>
        <w:tc>
          <w:tcPr>
            <w:tcW w:type="dxa" w:w="13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계수</w:t>
            </w:r>
          </w:p>
        </w:tc>
        <w:tc>
          <w:tcPr>
            <w:tcW w:type="dxa" w:w="13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표준오차</w:t>
            </w:r>
          </w:p>
        </w:tc>
        <w:tc>
          <w:tcPr>
            <w:tcW w:type="dxa" w:w="10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p값</w:t>
            </w:r>
          </w:p>
        </w:tc>
        <w:tc>
          <w:tcPr>
            <w:tcW w:type="dxa" w:w="10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FDR</w:t>
            </w:r>
          </w:p>
        </w:tc>
        <w:tc>
          <w:tcPr>
            <w:tcW w:type="dxa" w:w="146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N</w:t>
            </w:r>
          </w:p>
        </w:tc>
      </w:tr>
      <w:tr>
        <w:trPr>
          <w:cantSplit/>
        </w:trPr>
        <w:tc>
          <w:tcPr>
            <w:tcW w:type="dxa" w:w="3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연도FE/기업군집</w:t>
            </w:r>
          </w:p>
        </w:tc>
        <w:tc>
          <w:tcPr>
            <w:tcW w:type="dxa" w:w="1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-0.003173</w:t>
            </w:r>
          </w:p>
        </w:tc>
        <w:tc>
          <w:tcPr>
            <w:tcW w:type="dxa" w:w="1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0.001314</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0.016</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0.129</w:t>
            </w:r>
          </w:p>
        </w:tc>
        <w:tc>
          <w:tcPr>
            <w:tcW w:type="dxa" w:w="1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18,623</w:t>
            </w:r>
          </w:p>
        </w:tc>
      </w:tr>
      <w:tr>
        <w:trPr>
          <w:cantSplit/>
        </w:trPr>
        <w:tc>
          <w:tcPr>
            <w:tcW w:type="dxa" w:w="3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사건일FE/기업군집</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-0.002692</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0.001393</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0.053</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0.129</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18,623</w:t>
            </w:r>
          </w:p>
        </w:tc>
      </w:tr>
      <w:tr>
        <w:trPr>
          <w:cantSplit/>
        </w:trPr>
        <w:tc>
          <w:tcPr>
            <w:tcW w:type="dxa" w:w="3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사건일FE/이중군집(선호)</w:t>
            </w:r>
          </w:p>
        </w:tc>
        <w:tc>
          <w:tcPr>
            <w:tcW w:type="dxa" w:w="1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-0.002692</w:t>
            </w:r>
          </w:p>
        </w:tc>
        <w:tc>
          <w:tcPr>
            <w:tcW w:type="dxa" w:w="1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0.001449</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0.063</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0.129</w:t>
            </w:r>
          </w:p>
        </w:tc>
        <w:tc>
          <w:tcPr>
            <w:tcW w:type="dxa" w:w="1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18,623</w:t>
            </w:r>
          </w:p>
        </w:tc>
      </w:tr>
      <w:tr>
        <w:trPr>
          <w:cantSplit/>
        </w:trPr>
        <w:tc>
          <w:tcPr>
            <w:tcW w:type="dxa" w:w="3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시차 통제</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-0.002145</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0.001757</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0.222</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0.288</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16,450</w:t>
            </w:r>
          </w:p>
        </w:tc>
      </w:tr>
      <w:tr>
        <w:trPr>
          <w:cantSplit/>
        </w:trPr>
        <w:tc>
          <w:tcPr>
            <w:tcW w:type="dxa" w:w="3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시장×사건일FE</w:t>
            </w:r>
          </w:p>
        </w:tc>
        <w:tc>
          <w:tcPr>
            <w:tcW w:type="dxa" w:w="1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-0.003032</w:t>
            </w:r>
          </w:p>
        </w:tc>
        <w:tc>
          <w:tcPr>
            <w:tcW w:type="dxa" w:w="1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0.001559</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0.052</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0.129</w:t>
            </w:r>
          </w:p>
        </w:tc>
        <w:tc>
          <w:tcPr>
            <w:tcW w:type="dxa" w:w="1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18,623</w:t>
            </w:r>
          </w:p>
        </w:tc>
      </w:tr>
      <w:tr>
        <w:trPr>
          <w:cantSplit/>
        </w:trPr>
        <w:tc>
          <w:tcPr>
            <w:tcW w:type="dxa" w:w="3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KOSPI</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-0.003964</w:t>
            </w:r>
          </w:p>
        </w:tc>
        <w:tc>
          <w:tcPr>
            <w:tcW w:type="dxa" w:w="13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0.002348</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0.091</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0.147</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6,448</w:t>
            </w:r>
          </w:p>
        </w:tc>
      </w:tr>
      <w:tr>
        <w:trPr>
          <w:cantSplit/>
        </w:trPr>
        <w:tc>
          <w:tcPr>
            <w:tcW w:type="dxa" w:w="3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KOSDAQ</w:t>
            </w:r>
          </w:p>
        </w:tc>
        <w:tc>
          <w:tcPr>
            <w:tcW w:type="dxa" w:w="1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-0.002826</w:t>
            </w:r>
          </w:p>
        </w:tc>
        <w:tc>
          <w:tcPr>
            <w:tcW w:type="dxa" w:w="13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0.001799</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0.116</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0.171</w:t>
            </w:r>
          </w:p>
        </w:tc>
        <w:tc>
          <w:tcPr>
            <w:tcW w:type="dxa" w:w="1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12,175</w:t>
            </w:r>
          </w:p>
        </w:tc>
      </w:tr>
    </w:tbl>
    <w:p>
      <w:pPr>
        <w:spacing w:after="20"/>
      </w:pPr>
    </w:p>
    <w:p>
      <w:pPr>
        <w:jc w:val="center"/>
      </w:pPr>
      <w:r>
        <w:drawing>
          <wp:inline xmlns:a="http://schemas.openxmlformats.org/drawingml/2006/main" xmlns:pic="http://schemas.openxmlformats.org/drawingml/2006/picture">
            <wp:extent cx="5760720" cy="3131428"/>
            <wp:docPr id="2" name="Picture 2"/>
            <wp:cNvGraphicFramePr>
              <a:graphicFrameLocks noChangeAspect="1"/>
            </wp:cNvGraphicFramePr>
            <a:graphic>
              <a:graphicData uri="http://schemas.openxmlformats.org/drawingml/2006/picture">
                <pic:pic>
                  <pic:nvPicPr>
                    <pic:cNvPr id="0" name="02_最终模型系数图.png"/>
                    <pic:cNvPicPr/>
                  </pic:nvPicPr>
                  <pic:blipFill>
                    <a:blip r:embed="rId12"/>
                    <a:stretch>
                      <a:fillRect/>
                    </a:stretch>
                  </pic:blipFill>
                  <pic:spPr>
                    <a:xfrm>
                      <a:off x="0" y="0"/>
                      <a:ext cx="5760720" cy="3131428"/>
                    </a:xfrm>
                    <a:prstGeom prst="rect"/>
                  </pic:spPr>
                </pic:pic>
              </a:graphicData>
            </a:graphic>
          </wp:inline>
        </w:drawing>
      </w:r>
    </w:p>
    <w:p>
      <w:pPr>
        <w:jc w:val="center"/>
      </w:pPr>
      <w:r>
        <w:rPr>
          <w:rFonts w:ascii="Calibri" w:hAnsi="Calibri" w:eastAsia="Malgun Gothic"/>
          <w:i/>
          <w:color w:val="5C6773"/>
          <w:sz w:val="18"/>
        </w:rPr>
        <w:t>그림 2 선호모형 계수와 95% 신뢰구간</w:t>
      </w:r>
    </w:p>
    <w:p>
      <w:pPr>
        <w:spacing w:before="0" w:after="160" w:line="320" w:lineRule="auto"/>
        <w:jc w:val="both"/>
      </w:pPr>
      <w:r>
        <w:rPr>
          <w:rFonts w:ascii="Calibri" w:hAnsi="Calibri" w:eastAsia="Malgun Gothic"/>
          <w:b w:val="0"/>
          <w:i w:val="0"/>
          <w:color w:val="1F2933"/>
          <w:sz w:val="22"/>
        </w:rPr>
        <w:t>연도 고정효과에서 사건일 고정효과와 이중군집으로 강화하면 음(-)의 계수 유의성이 약해진다. 이는 동일일 공통충격과 오차상관이 실질적인 문제임을 뜻한다. KOSPI와 KOSDAQ 하위표본은 모두 음(-)의 방향이나 비유의적이며 시장상호작용 결합검정의 원 p=0.027도 다중검정 후 확인적 시장차이로 남지 않는다. 전수 동시공시 감사에서 고관련 공시 제외 후 p=0.192, 동일일 다른 공시 제외 후 p=0.523으로 음(-)의 점추정치는 남지만 정밀성과 강건성이 부족하다.</w:t>
      </w:r>
    </w:p>
    <w:p>
      <w:pPr>
        <w:spacing w:before="0" w:after="160" w:line="320" w:lineRule="auto"/>
        <w:jc w:val="both"/>
      </w:pPr>
      <w:r>
        <w:rPr>
          <w:rFonts w:ascii="Calibri" w:hAnsi="Calibri" w:eastAsia="Malgun Gothic"/>
          <w:b w:val="0"/>
          <w:i w:val="0"/>
          <w:color w:val="1F2933"/>
          <w:sz w:val="22"/>
        </w:rPr>
        <w:t>경제적 크기는 디지털 전략 1표준편차 증가가 약 0.269%p 낮은 3일 CAR과 연관됨을 의미한다. 한국시장에서 연차공시의 집중, 기업집단 관계, 디지털 사업의 투자규모와 회수기간은 투자자로 하여금 강한 디지털 행동을 기회와 실행위험으로 동시에 평가하게 할 수 있다. 그러나 위약검정이 실패하므로 이는 자료와 양립 가능한 설명일 뿐 입증된 원인이 아니다.</w:t>
      </w:r>
    </w:p>
    <w:p>
      <w:pPr>
        <w:pStyle w:val="Heading1"/>
      </w:pPr>
      <w:r>
        <w:t>8. 사건창 동시공시 감사</w:t>
      </w:r>
    </w:p>
    <w:p>
      <w:pPr>
        <w:spacing w:before="0" w:after="160" w:line="320" w:lineRule="auto"/>
        <w:jc w:val="both"/>
      </w:pPr>
      <w:r>
        <w:rPr>
          <w:rFonts w:ascii="Calibri" w:hAnsi="Calibri" w:eastAsia="Malgun Gothic"/>
          <w:b w:val="0"/>
          <w:i w:val="0"/>
          <w:color w:val="1F2933"/>
          <w:sz w:val="22"/>
        </w:rPr>
        <w:t>본 감사는 단순한 서술이 아니라 사건연구의 관찰가능 혼재사건 검정이다. 사업보고서 공시거래일부터 이후 두 거래일까지 KOSPI와 KOSDAQ 과거 공시페이지에 대해 6,274개의 날짜×시장 조회를 페이지별로 수집하고 DART corp_code로 표본기업과 연결하였다. 대상 사업보고서 rcept_no만 제외하고 정정보고서, 실적, 자금조달, 지배구조, 감사, 소송과 공정공시는 모두 유지하였다.</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4800"/>
        <w:gridCol w:w="4560"/>
      </w:tblGrid>
      <w:tr>
        <w:trPr>
          <w:cantSplit/>
        </w:trPr>
        <w:tc>
          <w:tcPr>
            <w:tcW w:type="dxa" w:w="48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9"/>
              </w:rPr>
              <w:t>지표</w:t>
            </w:r>
          </w:p>
        </w:tc>
        <w:tc>
          <w:tcPr>
            <w:tcW w:type="dxa" w:w="456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9"/>
              </w:rPr>
              <w:t>결과</w:t>
            </w:r>
          </w:p>
        </w:tc>
      </w:tr>
      <w:tr>
        <w:trPr>
          <w:cantSplit/>
        </w:trPr>
        <w:tc>
          <w:tcPr>
            <w:tcW w:type="dxa" w:w="4800"/>
            <w:vAlign w:val="center"/>
            <w:tcMar>
              <w:top w:w="80" w:type="dxa"/>
              <w:start w:w="120" w:type="dxa"/>
              <w:bottom w:w="80" w:type="dxa"/>
              <w:end w:w="120" w:type="dxa"/>
            </w:tcMar>
          </w:tcPr>
          <w:p>
            <w:pPr>
              <w:spacing w:after="0" w:line="252" w:lineRule="auto"/>
            </w:pPr>
            <w:r>
              <w:rPr>
                <w:rFonts w:ascii="Calibri" w:hAnsi="Calibri" w:eastAsia="Malgun Gothic"/>
                <w:color w:val="1F2933"/>
                <w:sz w:val="19"/>
              </w:rPr>
              <w:t>대상 보고서 수신번호 포괄률</w:t>
            </w:r>
          </w:p>
        </w:tc>
        <w:tc>
          <w:tcPr>
            <w:tcW w:type="dxa" w:w="4560"/>
            <w:vAlign w:val="center"/>
            <w:tcMar>
              <w:top w:w="80" w:type="dxa"/>
              <w:start w:w="120" w:type="dxa"/>
              <w:bottom w:w="80" w:type="dxa"/>
              <w:end w:w="120" w:type="dxa"/>
            </w:tcMar>
          </w:tcPr>
          <w:p>
            <w:pPr>
              <w:spacing w:after="0" w:line="252" w:lineRule="auto"/>
            </w:pPr>
            <w:r>
              <w:rPr>
                <w:rFonts w:ascii="Calibri" w:hAnsi="Calibri" w:eastAsia="Malgun Gothic"/>
                <w:color w:val="1F2933"/>
                <w:sz w:val="19"/>
              </w:rPr>
              <w:t>95.88%</w:t>
            </w:r>
          </w:p>
        </w:tc>
      </w:tr>
      <w:tr>
        <w:trPr>
          <w:cantSplit/>
        </w:trPr>
        <w:tc>
          <w:tcPr>
            <w:tcW w:type="dxa" w:w="48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9"/>
              </w:rPr>
              <w:t>동시공시 존재</w:t>
            </w:r>
          </w:p>
        </w:tc>
        <w:tc>
          <w:tcPr>
            <w:tcW w:type="dxa" w:w="45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9"/>
              </w:rPr>
              <w:t>14,452 (64.75%)</w:t>
            </w:r>
          </w:p>
        </w:tc>
      </w:tr>
      <w:tr>
        <w:trPr>
          <w:cantSplit/>
        </w:trPr>
        <w:tc>
          <w:tcPr>
            <w:tcW w:type="dxa" w:w="4800"/>
            <w:vAlign w:val="center"/>
            <w:tcMar>
              <w:top w:w="80" w:type="dxa"/>
              <w:start w:w="120" w:type="dxa"/>
              <w:bottom w:w="80" w:type="dxa"/>
              <w:end w:w="120" w:type="dxa"/>
            </w:tcMar>
          </w:tcPr>
          <w:p>
            <w:pPr>
              <w:spacing w:after="0" w:line="252" w:lineRule="auto"/>
            </w:pPr>
            <w:r>
              <w:rPr>
                <w:rFonts w:ascii="Calibri" w:hAnsi="Calibri" w:eastAsia="Malgun Gothic"/>
                <w:color w:val="1F2933"/>
                <w:sz w:val="19"/>
              </w:rPr>
              <w:t>고관련 동시공시</w:t>
            </w:r>
          </w:p>
        </w:tc>
        <w:tc>
          <w:tcPr>
            <w:tcW w:type="dxa" w:w="4560"/>
            <w:vAlign w:val="center"/>
            <w:tcMar>
              <w:top w:w="80" w:type="dxa"/>
              <w:start w:w="120" w:type="dxa"/>
              <w:bottom w:w="80" w:type="dxa"/>
              <w:end w:w="120" w:type="dxa"/>
            </w:tcMar>
          </w:tcPr>
          <w:p>
            <w:pPr>
              <w:spacing w:after="0" w:line="252" w:lineRule="auto"/>
            </w:pPr>
            <w:r>
              <w:rPr>
                <w:rFonts w:ascii="Calibri" w:hAnsi="Calibri" w:eastAsia="Malgun Gothic"/>
                <w:color w:val="1F2933"/>
                <w:sz w:val="19"/>
              </w:rPr>
              <w:t>10,743 (48.13%)</w:t>
            </w:r>
          </w:p>
        </w:tc>
      </w:tr>
      <w:tr>
        <w:trPr>
          <w:cantSplit/>
        </w:trPr>
        <w:tc>
          <w:tcPr>
            <w:tcW w:type="dxa" w:w="48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9"/>
              </w:rPr>
              <w:t>동일일 동시공시</w:t>
            </w:r>
          </w:p>
        </w:tc>
        <w:tc>
          <w:tcPr>
            <w:tcW w:type="dxa" w:w="45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9"/>
              </w:rPr>
              <w:t>13,752 (61.62%)</w:t>
            </w:r>
          </w:p>
        </w:tc>
      </w:tr>
      <w:tr>
        <w:trPr>
          <w:cantSplit/>
        </w:trPr>
        <w:tc>
          <w:tcPr>
            <w:tcW w:type="dxa" w:w="4800"/>
            <w:vAlign w:val="center"/>
            <w:tcMar>
              <w:top w:w="80" w:type="dxa"/>
              <w:start w:w="120" w:type="dxa"/>
              <w:bottom w:w="80" w:type="dxa"/>
              <w:end w:w="120" w:type="dxa"/>
            </w:tcMar>
          </w:tcPr>
          <w:p>
            <w:pPr>
              <w:spacing w:after="0" w:line="252" w:lineRule="auto"/>
            </w:pPr>
            <w:r>
              <w:rPr>
                <w:rFonts w:ascii="Calibri" w:hAnsi="Calibri" w:eastAsia="Malgun Gothic"/>
                <w:color w:val="1F2933"/>
                <w:sz w:val="19"/>
              </w:rPr>
              <w:t>매칭된 고유공시</w:t>
            </w:r>
          </w:p>
        </w:tc>
        <w:tc>
          <w:tcPr>
            <w:tcW w:type="dxa" w:w="4560"/>
            <w:vAlign w:val="center"/>
            <w:tcMar>
              <w:top w:w="80" w:type="dxa"/>
              <w:start w:w="120" w:type="dxa"/>
              <w:bottom w:w="80" w:type="dxa"/>
              <w:end w:w="120" w:type="dxa"/>
            </w:tcMar>
          </w:tcPr>
          <w:p>
            <w:pPr>
              <w:spacing w:after="0" w:line="252" w:lineRule="auto"/>
            </w:pPr>
            <w:r>
              <w:rPr>
                <w:rFonts w:ascii="Calibri" w:hAnsi="Calibri" w:eastAsia="Malgun Gothic"/>
                <w:color w:val="1F2933"/>
                <w:sz w:val="19"/>
              </w:rPr>
              <w:t>24,729</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3500"/>
        <w:gridCol w:w="1200"/>
        <w:gridCol w:w="1200"/>
        <w:gridCol w:w="1000"/>
        <w:gridCol w:w="1000"/>
        <w:gridCol w:w="1460"/>
      </w:tblGrid>
      <w:tr>
        <w:trPr>
          <w:cantSplit/>
        </w:trPr>
        <w:tc>
          <w:tcPr>
            <w:tcW w:type="dxa" w:w="35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표본</w:t>
            </w:r>
          </w:p>
        </w:tc>
        <w:tc>
          <w:tcPr>
            <w:tcW w:type="dxa" w:w="12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계수</w:t>
            </w:r>
          </w:p>
        </w:tc>
        <w:tc>
          <w:tcPr>
            <w:tcW w:type="dxa" w:w="12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표준오차</w:t>
            </w:r>
          </w:p>
        </w:tc>
        <w:tc>
          <w:tcPr>
            <w:tcW w:type="dxa" w:w="10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p값</w:t>
            </w:r>
          </w:p>
        </w:tc>
        <w:tc>
          <w:tcPr>
            <w:tcW w:type="dxa" w:w="10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FDR</w:t>
            </w:r>
          </w:p>
        </w:tc>
        <w:tc>
          <w:tcPr>
            <w:tcW w:type="dxa" w:w="146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7"/>
              </w:rPr>
              <w:t>N</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엄격 정렬 전체 사건표본</w:t>
            </w:r>
          </w:p>
        </w:tc>
        <w:tc>
          <w:tcPr>
            <w:tcW w:type="dxa" w:w="12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-0.002692</w:t>
            </w:r>
          </w:p>
        </w:tc>
        <w:tc>
          <w:tcPr>
            <w:tcW w:type="dxa" w:w="12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0.001449</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0.063</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0.107</w:t>
            </w:r>
          </w:p>
        </w:tc>
        <w:tc>
          <w:tcPr>
            <w:tcW w:type="dxa" w:w="1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18,623</w:t>
            </w:r>
          </w:p>
        </w:tc>
      </w:tr>
      <w:tr>
        <w:trPr>
          <w:cantSplit/>
        </w:trPr>
        <w:tc>
          <w:tcPr>
            <w:tcW w:type="dxa" w:w="35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대상 사업보고서 접수번호가 DART 과거공시에서 확인된 사건만</w:t>
            </w:r>
          </w:p>
        </w:tc>
        <w:tc>
          <w:tcPr>
            <w:tcW w:type="dxa" w:w="12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-0.002800</w:t>
            </w:r>
          </w:p>
        </w:tc>
        <w:tc>
          <w:tcPr>
            <w:tcW w:type="dxa" w:w="12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0.001513</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0.064</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0.107</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17,937</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포괄범위 확인 후 사건창 내 다른 DART 공시를 모두 제외</w:t>
            </w:r>
          </w:p>
        </w:tc>
        <w:tc>
          <w:tcPr>
            <w:tcW w:type="dxa" w:w="12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-0.005756</w:t>
            </w:r>
          </w:p>
        </w:tc>
        <w:tc>
          <w:tcPr>
            <w:tcW w:type="dxa" w:w="12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0.003093</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0.063</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0.107</w:t>
            </w:r>
          </w:p>
        </w:tc>
        <w:tc>
          <w:tcPr>
            <w:tcW w:type="dxa" w:w="1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5,620</w:t>
            </w:r>
          </w:p>
        </w:tc>
      </w:tr>
      <w:tr>
        <w:trPr>
          <w:cantSplit/>
        </w:trPr>
        <w:tc>
          <w:tcPr>
            <w:tcW w:type="dxa" w:w="35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포괄범위 확인 후 사건창 내 고관련 공시 제외</w:t>
            </w:r>
          </w:p>
        </w:tc>
        <w:tc>
          <w:tcPr>
            <w:tcW w:type="dxa" w:w="12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-0.003500</w:t>
            </w:r>
          </w:p>
        </w:tc>
        <w:tc>
          <w:tcPr>
            <w:tcW w:type="dxa" w:w="12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0.002682</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0.192</w:t>
            </w:r>
          </w:p>
        </w:tc>
        <w:tc>
          <w:tcPr>
            <w:tcW w:type="dxa" w:w="10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0.240</w:t>
            </w:r>
          </w:p>
        </w:tc>
        <w:tc>
          <w:tcPr>
            <w:tcW w:type="dxa" w:w="14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7"/>
              </w:rPr>
              <w:t>8,399</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포괄범위 확인 후 사건일 당일의 다른 공시 제외</w:t>
            </w:r>
          </w:p>
        </w:tc>
        <w:tc>
          <w:tcPr>
            <w:tcW w:type="dxa" w:w="12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-0.002454</w:t>
            </w:r>
          </w:p>
        </w:tc>
        <w:tc>
          <w:tcPr>
            <w:tcW w:type="dxa" w:w="12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0.003844</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0.523</w:t>
            </w:r>
          </w:p>
        </w:tc>
        <w:tc>
          <w:tcPr>
            <w:tcW w:type="dxa" w:w="100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0.523</w:t>
            </w:r>
          </w:p>
        </w:tc>
        <w:tc>
          <w:tcPr>
            <w:tcW w:type="dxa" w:w="1460"/>
            <w:vAlign w:val="center"/>
            <w:tcMar>
              <w:top w:w="80" w:type="dxa"/>
              <w:start w:w="120" w:type="dxa"/>
              <w:bottom w:w="80" w:type="dxa"/>
              <w:end w:w="120" w:type="dxa"/>
            </w:tcMar>
          </w:tcPr>
          <w:p>
            <w:pPr>
              <w:spacing w:after="0" w:line="252" w:lineRule="auto"/>
            </w:pPr>
            <w:r>
              <w:rPr>
                <w:rFonts w:ascii="Calibri" w:hAnsi="Calibri" w:eastAsia="Malgun Gothic"/>
                <w:color w:val="1F2933"/>
                <w:sz w:val="17"/>
              </w:rPr>
              <w:t>6,169</w:t>
            </w:r>
          </w:p>
        </w:tc>
      </w:tr>
    </w:tbl>
    <w:p>
      <w:pPr>
        <w:spacing w:after="20"/>
      </w:pPr>
    </w:p>
    <w:p>
      <w:pPr>
        <w:spacing w:before="0" w:after="160" w:line="320" w:lineRule="auto"/>
        <w:jc w:val="both"/>
      </w:pPr>
      <w:r>
        <w:rPr>
          <w:rFonts w:ascii="Calibri" w:hAnsi="Calibri" w:eastAsia="Malgun Gothic"/>
          <w:b w:val="0"/>
          <w:i w:val="0"/>
          <w:color w:val="1F2933"/>
          <w:sz w:val="22"/>
        </w:rPr>
        <w:t>공식 판단은 모든 동시공시 제외, 고관련 공시 제외 및 동일일 공시 제외 후 계수의 방향·크기·신뢰구간이 유지되는지를 기준으로 하며 한 열의 p값이 0.05를 넘는지만 보지 않는다. 동시공시 감사는 다른 중요정보를 디지털 전략 텍스트에 잘못 귀속하는 위험을 줄이지만 언론보도, 애널리스트 활동 또는 보고서 밖 정보까지 제거하지는 못한다.</w:t>
      </w:r>
    </w:p>
    <w:p>
      <w:pPr>
        <w:pStyle w:val="Heading1"/>
      </w:pPr>
      <w:r>
        <w:t>9. 비선형성·메커니즘·강건성</w:t>
      </w:r>
    </w:p>
    <w:p>
      <w:pPr>
        <w:spacing w:before="0" w:after="160" w:line="320" w:lineRule="auto"/>
        <w:jc w:val="both"/>
      </w:pPr>
      <w:r>
        <w:rPr>
          <w:rFonts w:ascii="Calibri" w:hAnsi="Calibri" w:eastAsia="Malgun Gothic"/>
          <w:b w:val="0"/>
          <w:i w:val="0"/>
          <w:color w:val="1F2933"/>
          <w:sz w:val="22"/>
        </w:rPr>
        <w:t>경영경로의 허들, 분위집단, 분포시차, 내부성분과 양(+)값 표본 3차항 결합검정은 안정적인 비선형 또는 메커니즘 관계를 지지하지 않으며 관련 p값의 최솟값도 0.20보다 크다. 자본시장의 시장상호작용 결합검정 원 p=0.027이나 시장별 한계효과는 모두 비유의적이고 전체 CAR 모형군의 FDR도 확인적 결론을 지지하지 않는다.</w:t>
      </w:r>
    </w:p>
    <w:p>
      <w:pPr>
        <w:spacing w:before="0" w:after="160" w:line="320" w:lineRule="auto"/>
        <w:jc w:val="both"/>
      </w:pPr>
      <w:r>
        <w:rPr>
          <w:rFonts w:ascii="Calibri" w:hAnsi="Calibri" w:eastAsia="Malgun Gothic"/>
          <w:b w:val="0"/>
          <w:i w:val="0"/>
          <w:color w:val="1F2933"/>
          <w:sz w:val="22"/>
        </w:rPr>
        <w:t>다중공선성은 핵심 장애가 아니다. 핵심·확장·지배구조 통제의 최대 VIF는 약 2.64, 3.17, 3.32이다. 더 큰 문제는 확장통제의 결측으로 인한 표본감소, 디지털 지표의 높은 지속성과 영(0)값 집중이다. 미래 1년 디지털 수준이 현재 CAR을 유의하게 예측(p=0.0035)하지만 미래 변화량은 비유의적이어서 안정적 기업특성, 공시스타일 또는 잔여 시점오차가 수준결과를 유도할 가능성이 있다.</w:t>
      </w:r>
    </w:p>
    <w:p>
      <w:pPr>
        <w:pStyle w:val="Heading1"/>
      </w:pPr>
      <w:r>
        <w:t>10. 원인 해석: 엄격한 모형에서 유의성이 사라지는 이유</w:t>
      </w:r>
    </w:p>
    <w:p>
      <w:pPr>
        <w:pStyle w:val="Heading2"/>
      </w:pPr>
      <w:r>
        <w:t>10.1 이 결과가 실제로 의미하는 것</w:t>
      </w:r>
    </w:p>
    <w:p>
      <w:pPr>
        <w:spacing w:before="0" w:after="160" w:line="320" w:lineRule="auto"/>
        <w:jc w:val="both"/>
      </w:pPr>
      <w:r>
        <w:rPr>
          <w:rFonts w:ascii="Calibri" w:hAnsi="Calibri" w:eastAsia="Malgun Gothic"/>
          <w:b w:val="0"/>
          <w:i w:val="0"/>
          <w:color w:val="1F2933"/>
          <w:sz w:val="22"/>
        </w:rPr>
        <w:t>본 연구가 추정하는 것은 ‘디지털화가 유용한가’라는 포괄적 명제가 아니다. 동일 기업의 사업보고서에서 실질 디지털 행동공시가 과거 자기수준보다 얼마나 변했는지가 기업 고유특성, 연도 공통충격과 재무상태를 통제한 뒤 차기 경영성과 또는 공시일 주변 초과수익률을 안정적으로 예측하는지를 추정한다. 따라서 비유의성의 정확한 의미는 사업보고서 공시강도에 안정적인 단기 추가예측력이 없다는 것이며 디지털화의 실제 경제가치가 0이라는 뜻이 아니다.</w:t>
      </w:r>
    </w:p>
    <w:p>
      <w:pPr>
        <w:spacing w:before="0" w:after="160" w:line="320" w:lineRule="auto"/>
        <w:jc w:val="both"/>
      </w:pPr>
      <w:r>
        <w:rPr>
          <w:rFonts w:ascii="Calibri" w:hAnsi="Calibri" w:eastAsia="Malgun Gothic"/>
          <w:b w:val="0"/>
          <w:i w:val="0"/>
          <w:color w:val="1F2933"/>
          <w:sz w:val="22"/>
        </w:rPr>
        <w:t>이 결과는 ‘전략의 축적량과 연간 변화량의 불일치’에 가깝다. 디지털 인프라, 데이터 거버넌스, 프로세스 재설계와 비즈니스모델 전환은 여러 해에 걸쳐 진행되지만 연간 텍스트 지표는 특정 보고기간에 관찰된 공시변화를 기록한다. 디지털 지표의 기업내 지속성이 높고 기업-연도의 51.56%가 0이므로 기업 고정효과 모형은 제한된 연도내 변화에 의존한다. 실제 가치가 장기축적, 부서간 통합 또는 소수 고품질 프로젝트에서 발생한다면 평균 단기계수는 0에 가까울 수 있다.</w:t>
      </w:r>
    </w:p>
    <w:p>
      <w:pPr>
        <w:spacing w:before="0" w:after="160" w:line="320" w:lineRule="auto"/>
        <w:jc w:val="both"/>
      </w:pPr>
      <w:r>
        <w:rPr>
          <w:rFonts w:ascii="Calibri" w:hAnsi="Calibri" w:eastAsia="Malgun Gothic"/>
          <w:b w:val="0"/>
          <w:i w:val="0"/>
          <w:color w:val="1F2933"/>
          <w:sz w:val="22"/>
        </w:rPr>
        <w:t>이중 구동 경로도 동시에 작동할 필요가 없다. 내부경로에서는 투자, 교육, 시스템 이전과 조직마찰이 먼저 나타나고 효율 또는 수익은 나중에 발생할 수 있다. 외부경로는 성장기회와 실행위험을 동시에 전달할 수 있다. 따라서 ‘내부 단기 비유의, 외부 약한 음(-)’은 실현지연과 신호의 모호성에 부합하지만 위약검정과 다중검정을 통과하지 못했으므로 검증된 원인이 아니라 메커니즘 해석으로만 제시해야 한다.</w:t>
      </w:r>
    </w:p>
    <w:p>
      <w:pPr>
        <w:pStyle w:val="Heading2"/>
      </w:pPr>
      <w:r>
        <w:t>10.2 한국 시장과 정책환경이 이 현상을 강화할 수 있는 이유</w:t>
      </w:r>
    </w:p>
    <w:p>
      <w:pPr>
        <w:spacing w:before="0" w:after="160" w:line="320" w:lineRule="auto"/>
        <w:jc w:val="both"/>
      </w:pPr>
      <w:r>
        <w:rPr>
          <w:rFonts w:ascii="Calibri" w:hAnsi="Calibri" w:eastAsia="Malgun Gothic"/>
          <w:b w:val="0"/>
          <w:i w:val="0"/>
          <w:color w:val="1F2933"/>
          <w:sz w:val="22"/>
        </w:rPr>
        <w:t>첫째, 사업보고서는 저빈도·집중형·정보결합형 공시수단이다. DART에 따르면 사업보고서는 원칙적으로 회계연도 종료 후 90일 이내 제출되므로 12월 결산기업의 공시가 다음해 3월 부근에 집중된다. 디지털 전략정보는 실적예고, IR자료, 뉴스 또는 사업공시를 통해 이미 반영될 수 있고 사업보고서 사건일에는 재무, 감사, 지배구조와 정정정보가 함께 나타난다. 본 연구에서 사건창의 64.75%에 다른 DART 공시가 있었고 정확한 사건일 고정효과와 동시공시 제외 후 유의성이 약해졌다. 따라서 3일 CAR을 순수 디지털 전략가격으로 해석하기 어렵다.</w:t>
      </w:r>
    </w:p>
    <w:p>
      <w:pPr>
        <w:spacing w:before="0" w:after="160" w:line="320" w:lineRule="auto"/>
        <w:jc w:val="both"/>
      </w:pPr>
      <w:r>
        <w:rPr>
          <w:rFonts w:ascii="Calibri" w:hAnsi="Calibri" w:eastAsia="Malgun Gothic"/>
          <w:b w:val="0"/>
          <w:i w:val="0"/>
          <w:color w:val="1F2933"/>
          <w:sz w:val="22"/>
        </w:rPr>
        <w:t>둘째, 한국 자본시장이 단순히 ‘열등하다’기보다 소유구조와 가치평가 제약이 다르다. OECD 기업지배구조 팩트북 2025에 따르면 한국 상장주식의 기업 보유비중은 약 27%로 OECD 회원국 약 6%보다 높고 기관투자자 비중은 약 17%로 OECD 회원국 약 58%보다 낮다. 기업집단 통제, 계열관계와 일반주주 보호문제를 고려하면 투자자는 독립적 전략서술보다 검증 가능한 현금흐름, 자본효율과 주주환원을 더 중시할 수 있다. 금융위원회의 2024년 밸류업 계획도 ROE, ROIC, 가치평가, 지배구조, 소통과 주주환원을 ‘코리아 디스카운트’ 개선의 핵심으로 제시한다. 이는 예산, 이정표와 가치실현 경로가 없는 디지털 언어의 한계정보가 작을 수 있다는 신중한 추론을 지지하지만 본 연구가 투자자구조를 직접 검정하지 않았으므로 확인된 인과메커니즘으로 쓸 수는 없다.</w:t>
      </w:r>
    </w:p>
    <w:p>
      <w:pPr>
        <w:spacing w:before="0" w:after="160" w:line="320" w:lineRule="auto"/>
        <w:jc w:val="both"/>
      </w:pPr>
      <w:r>
        <w:rPr>
          <w:rFonts w:ascii="Calibri" w:hAnsi="Calibri" w:eastAsia="Malgun Gothic"/>
          <w:b w:val="0"/>
          <w:i w:val="0"/>
          <w:color w:val="1F2933"/>
          <w:sz w:val="22"/>
        </w:rPr>
        <w:t>셋째, 정책확산은 명확한 처리차이보다 공통추세를 만들 수 있다. 제조업 혁신 3.0은 표본 시작 이전이고 2020년 디지털 뉴딜은 전국적으로 시행되면서 COVID-19와 중첩된다. 이 정책들은 시장전체의 디지털 담론과 채택확률을 높이지만 국내 비처리 대조집단을 제공하지 않는다. 연도 고정효과와 산업×연도 상대지표가 이러한 공통상승을 흡수하는 것은 거시적 유행을 기업효과로 오인하지 않기 위해 필요하다. 따라서 비유의성을 정책실패로 해석할 수 없고 현재자료가 보편적 정책배경과 기업고유 충격을 분리하지 못한다는 뜻이다.</w:t>
      </w:r>
    </w:p>
    <w:p>
      <w:pPr>
        <w:spacing w:before="0" w:after="160" w:line="320" w:lineRule="auto"/>
        <w:jc w:val="both"/>
      </w:pPr>
      <w:r>
        <w:rPr>
          <w:rFonts w:ascii="Calibri" w:hAnsi="Calibri" w:eastAsia="Malgun Gothic"/>
          <w:b w:val="0"/>
          <w:i w:val="0"/>
          <w:color w:val="1F2933"/>
          <w:sz w:val="22"/>
        </w:rPr>
        <w:t>넷째, 한국 스마트제조는 성숙도와 적용범위의 차이가 크다. 한국 제조업 중소기업 163개를 대상으로 한 연구는 실제 스마트제조 성숙도가 높을수록 재무성과와 운영효율이 개선될 수 있지만 효과가 산업과 생산인력구성에 따라 달라짐을 보여준다. 다른 한국 연구는 2019년 스마트공장의 약 75%가 기초수준이고 기초와 중간1 수준의 합계가 약 95%라고 보고한다. 실제 도입정도, 제조기업과 생산라인을 대상으로 한 연구는 유의할 수 있지만 KOSPI와 KOSDAQ의 다산업 상장기업 사업보고서 지표는 고성숙 프로젝트, 초기도입, 서비스 플랫폼과 상징적 공시를 평균하여 평균효과를 희석할 수 있다.</w:t>
      </w:r>
    </w:p>
    <w:p>
      <w:pPr>
        <w:pStyle w:val="Heading2"/>
      </w:pPr>
      <w:r>
        <w:t>10.3 일부 선행연구는 유의하지만 본 연구는 비유의한 이유</w:t>
      </w:r>
    </w:p>
    <w:p>
      <w:pPr>
        <w:spacing w:before="0" w:after="160" w:line="320" w:lineRule="auto"/>
        <w:jc w:val="both"/>
      </w:pPr>
      <w:r>
        <w:rPr>
          <w:rFonts w:ascii="Calibri" w:hAnsi="Calibri" w:eastAsia="Malgun Gothic"/>
          <w:b w:val="0"/>
          <w:i w:val="0"/>
          <w:color w:val="1F2933"/>
          <w:sz w:val="22"/>
        </w:rPr>
        <w:t>첫째, 설명변수가 다르다. 유의한 선행연구는 실제 IT자본, 시스템 성숙도, 정부 수혜목록, 설문 채택정도 또는 공장기술을 사용하는 경우가 많다. 본 연구는 사업보고서에서 관찰되는 전략행동 공시를 사용한다. 전자는 실제 처리에 더 가깝지만 후자는 실행, 선택적 공시와 언어측정오차를 함께 포함한다. Bloom, Sadun과 Van Reenen(2012)은 IT 생산성 우위가 인사관리 등 조직적 보완자산과 주로 관련됨을 보여주어 기술 또는 기술서술만으로 성과가 보장되지 않음을 시사한다.</w:t>
      </w:r>
    </w:p>
    <w:p>
      <w:pPr>
        <w:spacing w:before="0" w:after="160" w:line="320" w:lineRule="auto"/>
        <w:jc w:val="both"/>
      </w:pPr>
      <w:r>
        <w:rPr>
          <w:rFonts w:ascii="Calibri" w:hAnsi="Calibri" w:eastAsia="Malgun Gothic"/>
          <w:b w:val="0"/>
          <w:i w:val="0"/>
          <w:color w:val="1F2933"/>
          <w:sz w:val="22"/>
        </w:rPr>
        <w:t>둘째, 표본, 결과변수와 시간창이 다르다. 한국 스마트공장 연구는 제조업 중소기업, 지원기업 또는 공장을 대상으로 생산성, 운영효율, 채택확률이나 장기 재무변화를 분석하는 경우가 많다. 본 연구는 다산업 상장기업을 대상으로 차기 회계성과와 3일 CAR을 검정한다. 효과가 2~5년에 걸쳐 실현되거나 고성숙 제조프로젝트에만 나타난다면 1년 평균효과와 짧은 사건창은 약할 수 있다.</w:t>
      </w:r>
    </w:p>
    <w:p>
      <w:pPr>
        <w:spacing w:before="0" w:after="160" w:line="320" w:lineRule="auto"/>
        <w:jc w:val="both"/>
      </w:pPr>
      <w:r>
        <w:rPr>
          <w:rFonts w:ascii="Calibri" w:hAnsi="Calibri" w:eastAsia="Malgun Gothic"/>
          <w:b w:val="0"/>
          <w:i w:val="0"/>
          <w:color w:val="1F2933"/>
          <w:sz w:val="22"/>
        </w:rPr>
        <w:t>셋째, 식별강도가 다르다. 본 연구는 기업 고정효과, 연도 또는 정확한 사건일 고정효과, 기업 또는 이중군집 표준오차, 윈저라이징, 연도별 제외, 동시공시 제거, 위약검정과 FDR 보정을 적용한다. 단순 횡단면, 일반 OLS, 단일모형 또는 공통 날짜충격을 처리하지 않은 연구는 전통적 p&lt;0.05를 얻기 쉽다. Hanelt 등(2021)의 체계적 문헌고찰도 디지털 전환이 조직, 산업, 국가와 생태계 경계조건이 함께 형성하는 지속적 조직변화임을 강조하므로 서로 다른 설계에서 동일계수를 기대해서는 안 된다.</w:t>
      </w:r>
    </w:p>
    <w:p>
      <w:pPr>
        <w:spacing w:before="0" w:after="160" w:line="320" w:lineRule="auto"/>
        <w:jc w:val="both"/>
      </w:pPr>
      <w:r>
        <w:rPr>
          <w:rFonts w:ascii="Calibri" w:hAnsi="Calibri" w:eastAsia="Malgun Gothic"/>
          <w:b w:val="0"/>
          <w:i w:val="0"/>
          <w:color w:val="1F2933"/>
          <w:sz w:val="22"/>
        </w:rPr>
        <w:t>마지막으로 연구질문 자체가 다르다. 다른 논문의 유의한 결과는 ‘특정 기업이 충분한 성숙도와 보완역량을 갖추고 실제 디지털 기술을 도입하면 성과가 개선될 수 있다’는 것을 보여줄 수 있다. 본 연구의 비유의 결과는 ‘연차보고서의 상대적 공시강도만으로 한국 상장기업 전체의 단기 추가수익을 안정적으로 식별할 수 없다’는 뜻이다. 두 결과는 모순되지 않으며 성숙도, 조직역량, 처리강도와 실현기간이라는 경계조건을 함께 가리킨다.</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FF4DE"/>
          </w:tcPr>
          <w:p>
            <w:pPr>
              <w:spacing w:after="0" w:line="288" w:lineRule="auto"/>
            </w:pPr>
            <w:r>
              <w:rPr>
                <w:rFonts w:ascii="Calibri" w:hAnsi="Calibri" w:eastAsia="Malgun Gothic"/>
                <w:b/>
                <w:color w:val="1F4D78"/>
                <w:sz w:val="22"/>
              </w:rPr>
              <w:t xml:space="preserve">공식 논의 결론 </w:t>
            </w:r>
            <w:r>
              <w:rPr>
                <w:rFonts w:ascii="Calibri" w:hAnsi="Calibri" w:eastAsia="Malgun Gothic"/>
                <w:color w:val="1F2933"/>
                <w:sz w:val="22"/>
              </w:rPr>
              <w:t>‘한국 시장이 다른 시장보다 나쁘다’거나 ‘한국 정책이 효과가 없다’고 쓰면 안 된다. 한국의 집중공시제도, 소유·가치평가 환경, 전국적 디지털 정책과 스마트제조 성숙도 차이가 사업보고서 디지털 전략문장의 단기 한계신호로서 식별가능성을 낮춘다고 쓸 수 있다. 실제 도입의 장기적·조건부 가치는 기업별 처리목록과 동태모형으로 추가 검정해야 한다.</w:t>
            </w:r>
          </w:p>
        </w:tc>
      </w:tr>
    </w:tbl>
    <w:p>
      <w:pPr>
        <w:spacing w:after="40"/>
      </w:pPr>
    </w:p>
    <w:p>
      <w:pPr>
        <w:pStyle w:val="Heading1"/>
      </w:pPr>
      <w:r>
        <w:t>11. 한국 제도환경과 외생충격</w:t>
      </w:r>
    </w:p>
    <w:p>
      <w:pPr>
        <w:spacing w:before="0" w:after="160" w:line="320" w:lineRule="auto"/>
        <w:jc w:val="both"/>
      </w:pPr>
      <w:r>
        <w:rPr>
          <w:rFonts w:ascii="Calibri" w:hAnsi="Calibri" w:eastAsia="Malgun Gothic"/>
          <w:b w:val="0"/>
          <w:i w:val="0"/>
          <w:color w:val="1F2933"/>
          <w:sz w:val="22"/>
        </w:rPr>
        <w:t>후보정책은 시점, 처리집단, 대조집단과 배제제약의 네 기준으로 감사하였다. 제조업 혁신 3.0은 2014년에 발표되어 2015년 표본시작보다 앞서므로 충분한 표본내 사전기간을 제공하지 않는다. 2020년 디지털 뉴딜은 전국 동시시행이고 COVID-19와 겹쳐 단순 Post2020이 감염병, 거시부양과 디지털 정책을 혼합한다. 두 정책은 제도적 배경에는 적합하지만 현재모형의 단순 외생충격에는 부적합하다.</w:t>
      </w:r>
    </w:p>
    <w:p>
      <w:pPr>
        <w:spacing w:before="0" w:after="160" w:line="320" w:lineRule="auto"/>
        <w:jc w:val="both"/>
      </w:pPr>
      <w:r>
        <w:rPr>
          <w:rFonts w:ascii="Calibri" w:hAnsi="Calibri" w:eastAsia="Malgun Gothic"/>
          <w:b w:val="0"/>
          <w:i w:val="0"/>
          <w:color w:val="1F2933"/>
          <w:sz w:val="22"/>
        </w:rPr>
        <w:t>가장 유망한 것은 기업별로 순차 도입된 스마트공장 지원사업이다. 공식 및 연구자료에 따르면 2014-2022년 누적 약 30,144개의 스마트공장이 구축되었고 담당부처 미시자료는 지원기업, 도입연도, 유형, 수준과 지역을 포함할 수 있다. 목록을 확보하면 제조업으로 제한하고 사업자등록번호를 보완한 뒤 기업별 처리연도를 DART corp_code와 신중히 매칭해야 한다.</w:t>
      </w:r>
    </w:p>
    <w:p>
      <w:pPr>
        <w:pStyle w:val="ListNumber"/>
        <w:spacing w:after="80" w:line="290" w:lineRule="auto"/>
      </w:pPr>
      <w:r>
        <w:rPr>
          <w:rFonts w:ascii="Calibri" w:hAnsi="Calibri" w:eastAsia="Malgun Gothic"/>
          <w:color w:val="1F2933"/>
          <w:sz w:val="22"/>
        </w:rPr>
        <w:t>처리기업 수, 도입연도, 처리 전 3개 기간, 산업 및 시장분포에 대한 중첩·검정력 감사를 먼저 수행한다.</w:t>
      </w:r>
    </w:p>
    <w:p>
      <w:pPr>
        <w:pStyle w:val="ListNumber"/>
        <w:spacing w:after="80" w:line="290" w:lineRule="auto"/>
      </w:pPr>
      <w:r>
        <w:rPr>
          <w:rFonts w:ascii="Calibri" w:hAnsi="Calibri" w:eastAsia="Malgun Gothic"/>
          <w:color w:val="1F2933"/>
          <w:sz w:val="22"/>
        </w:rPr>
        <w:t>미처리 또는 아직 처리되지 않은 기업을 대조군으로 Callaway-Sant'Anna 그룹-시간 ATT 또는 Sun-Abraham 동태사건연구를 사용한다.</w:t>
      </w:r>
    </w:p>
    <w:p>
      <w:pPr>
        <w:pStyle w:val="ListNumber"/>
        <w:spacing w:after="80" w:line="290" w:lineRule="auto"/>
      </w:pPr>
      <w:r>
        <w:rPr>
          <w:rFonts w:ascii="Calibri" w:hAnsi="Calibri" w:eastAsia="Malgun Gothic"/>
          <w:color w:val="1F2933"/>
          <w:sz w:val="22"/>
        </w:rPr>
        <w:t>사전추세, 예상효과, 구축수준과 사업유형 이질성을 보고하고 정책차수 또는 지역 공통충격을 처리한다.</w:t>
      </w:r>
    </w:p>
    <w:p>
      <w:pPr>
        <w:pStyle w:val="ListNumber"/>
        <w:spacing w:after="80" w:line="290" w:lineRule="auto"/>
      </w:pPr>
      <w:r>
        <w:rPr>
          <w:rFonts w:ascii="Calibri" w:hAnsi="Calibri" w:eastAsia="Malgun Gothic"/>
          <w:color w:val="1F2933"/>
          <w:sz w:val="22"/>
        </w:rPr>
        <w:t>기업별 처리목록을 확보·검증하기 전에는 사전등록형 후속확장으로만 제시하고 인과추정 완료를 주장하지 않는다.</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800"/>
        <w:gridCol w:w="1400"/>
        <w:gridCol w:w="5160"/>
      </w:tblGrid>
      <w:tr>
        <w:trPr>
          <w:cantSplit/>
        </w:trPr>
        <w:tc>
          <w:tcPr>
            <w:tcW w:type="dxa" w:w="28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정책</w:t>
            </w:r>
          </w:p>
        </w:tc>
        <w:tc>
          <w:tcPr>
            <w:tcW w:type="dxa" w:w="140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시점</w:t>
            </w:r>
          </w:p>
        </w:tc>
        <w:tc>
          <w:tcPr>
            <w:tcW w:type="dxa" w:w="5160"/>
            <w:shd w:fill="1F4D78"/>
            <w:vAlign w:val="center"/>
            <w:tcMar>
              <w:top w:w="80" w:type="dxa"/>
              <w:start w:w="120" w:type="dxa"/>
              <w:bottom w:w="80" w:type="dxa"/>
              <w:end w:w="120" w:type="dxa"/>
            </w:tcMar>
          </w:tcPr>
          <w:p>
            <w:pPr>
              <w:spacing w:after="0"/>
              <w:jc w:val="center"/>
            </w:pPr>
            <w:r>
              <w:rPr>
                <w:rFonts w:ascii="Calibri" w:hAnsi="Calibri" w:eastAsia="Malgun Gothic"/>
                <w:b/>
                <w:color w:val="FFFFFF"/>
                <w:sz w:val="18"/>
              </w:rPr>
              <w:t>식별판단</w:t>
            </w:r>
          </w:p>
        </w:tc>
      </w:tr>
      <w:tr>
        <w:trPr>
          <w:cantSplit/>
        </w:trPr>
        <w:tc>
          <w:tcPr>
            <w:tcW w:type="dxa" w:w="28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제조업 혁신 3.0</w:t>
            </w:r>
          </w:p>
        </w:tc>
        <w:tc>
          <w:tcPr>
            <w:tcW w:type="dxa" w:w="14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2014</w:t>
            </w:r>
          </w:p>
        </w:tc>
        <w:tc>
          <w:tcPr>
            <w:tcW w:type="dxa" w:w="516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배경, 단순 DiD 제외</w:t>
            </w:r>
          </w:p>
        </w:tc>
      </w:tr>
      <w:tr>
        <w:trPr>
          <w:cantSplit/>
        </w:trPr>
        <w:tc>
          <w:tcPr>
            <w:tcW w:type="dxa" w:w="28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디지털 뉴딜</w:t>
            </w:r>
          </w:p>
        </w:tc>
        <w:tc>
          <w:tcPr>
            <w:tcW w:type="dxa" w:w="140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2020</w:t>
            </w:r>
          </w:p>
        </w:tc>
        <w:tc>
          <w:tcPr>
            <w:tcW w:type="dxa" w:w="5160"/>
            <w:shd w:fill="F4F6F9"/>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전국충격 및 COVID 중첩</w:t>
            </w:r>
          </w:p>
        </w:tc>
      </w:tr>
      <w:tr>
        <w:trPr>
          <w:cantSplit/>
        </w:trPr>
        <w:tc>
          <w:tcPr>
            <w:tcW w:type="dxa" w:w="28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스마트공장 순차도입</w:t>
            </w:r>
          </w:p>
        </w:tc>
        <w:tc>
          <w:tcPr>
            <w:tcW w:type="dxa" w:w="140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2014-</w:t>
            </w:r>
          </w:p>
        </w:tc>
        <w:tc>
          <w:tcPr>
            <w:tcW w:type="dxa" w:w="5160"/>
            <w:vAlign w:val="center"/>
            <w:tcMar>
              <w:top w:w="80" w:type="dxa"/>
              <w:start w:w="120" w:type="dxa"/>
              <w:bottom w:w="80" w:type="dxa"/>
              <w:end w:w="120" w:type="dxa"/>
            </w:tcMar>
          </w:tcPr>
          <w:p>
            <w:pPr>
              <w:spacing w:after="0" w:line="252" w:lineRule="auto"/>
            </w:pPr>
            <w:r>
              <w:rPr>
                <w:rFonts w:ascii="Calibri" w:hAnsi="Calibri" w:eastAsia="Malgun Gothic"/>
                <w:color w:val="1F2933"/>
                <w:sz w:val="18"/>
              </w:rPr>
              <w:t>미시 수혜목록 확보 후 현대적 DiD</w:t>
            </w:r>
          </w:p>
        </w:tc>
      </w:tr>
    </w:tbl>
    <w:p>
      <w:pPr>
        <w:spacing w:after="20"/>
      </w:pPr>
    </w:p>
    <w:p>
      <w:pPr>
        <w:pStyle w:val="Heading1"/>
      </w:pPr>
      <w:r>
        <w:t>12. 결론·기여·한계</w:t>
      </w:r>
    </w:p>
    <w:p>
      <w:pPr>
        <w:spacing w:before="0" w:after="160" w:line="320" w:lineRule="auto"/>
        <w:jc w:val="both"/>
      </w:pPr>
      <w:r>
        <w:rPr>
          <w:rFonts w:ascii="Calibri" w:hAnsi="Calibri" w:eastAsia="Malgun Gothic"/>
          <w:b w:val="0"/>
          <w:i w:val="0"/>
          <w:color w:val="1F2933"/>
          <w:sz w:val="22"/>
        </w:rPr>
        <w:t>첫째, 내부 실질효과의 공식결론은 강건한 단기 경영성과 개선을 발견하지 못했다는 것이다. 둘째, 외부 자본시장에서 강한 실질 디지털 전략 공시는 낮은 3일 CAR과 약한 음(-)의 연관성을 보이나 다중검정을 통과하지 못하고 위약검정 실패의 제약을 받는다. 셋째, 비선형성, BMI 재구성과 순수시장신호는 확인 가능한 독립 메커니즘을 형성하지 못했다.</w:t>
      </w:r>
    </w:p>
    <w:p>
      <w:pPr>
        <w:spacing w:before="0" w:after="160" w:line="320" w:lineRule="auto"/>
        <w:jc w:val="both"/>
      </w:pPr>
      <w:r>
        <w:rPr>
          <w:rFonts w:ascii="Calibri" w:hAnsi="Calibri" w:eastAsia="Malgun Gothic"/>
          <w:b w:val="0"/>
          <w:i w:val="0"/>
          <w:color w:val="1F2933"/>
          <w:sz w:val="22"/>
        </w:rPr>
        <w:t>국가간 비교를 한국 시장이 ‘더 나쁘다’고 요약할 수는 없다. 보다 근거있는 표현은 한국 사업보고서 공시시점의 집중, 기업 및 기관투자자 구성의 차이, 기업집단과 주주가치 문제에 대한 높은 관심, 전국적 디지털정책의 공통추세와 스마트제조 성숙도의 이질성이 사업보고서 디지털 전략언어의 단기 한계신호로서 식별가능성을 낮춘다는 것이다. 이는 조직적 보완자산과 긴 실현기간을 갖춘 실제 디지털 도입의 가치 가능성을 부정하지 않는다.</w:t>
      </w:r>
    </w:p>
    <w:p>
      <w:pPr>
        <w:spacing w:before="0" w:after="160" w:line="320" w:lineRule="auto"/>
        <w:jc w:val="both"/>
      </w:pPr>
      <w:r>
        <w:rPr>
          <w:rFonts w:ascii="Calibri" w:hAnsi="Calibri" w:eastAsia="Malgun Gothic"/>
          <w:b w:val="0"/>
          <w:i w:val="0"/>
          <w:color w:val="1F2933"/>
          <w:sz w:val="22"/>
        </w:rPr>
        <w:t>이론적 의의는 디지털화가 반드시 성과를 높인다고 주장하는 데 있지 않다. 전략행동, 비즈니스모델 변화, 가시적 신호와 상투적 언어를 구분하고 공시·실행·가치실현 사이의 시간불일치를 제시한다. 한국시장에서는 집중된 공시일, 디지털정책 확산, KOSPI/KOSDAQ 구조차이와 실행불확실성 때문에 단순 키워드 빈도와 단순 사건연구가 특히 오판을 만들 수 있다.</w:t>
      </w:r>
    </w:p>
    <w:p>
      <w:pPr>
        <w:spacing w:before="0" w:after="160" w:line="320" w:lineRule="auto"/>
        <w:jc w:val="both"/>
      </w:pPr>
      <w:r>
        <w:rPr>
          <w:rFonts w:ascii="Calibri" w:hAnsi="Calibri" w:eastAsia="Malgun Gothic"/>
          <w:b w:val="0"/>
          <w:i w:val="0"/>
          <w:color w:val="1F2933"/>
          <w:sz w:val="22"/>
        </w:rPr>
        <w:t>방법론적 기여는 대규모 한국어 사업보고서 자동수집, 문장수준 행동필터, 산업×연도 상대신호, 정정텍스트와 사건일의 엄격한 정렬, 기업·사건일 이중군집, 동시공시의 일별·페이지별 감사, 영(0)값·지속성·비선형성·다중검정·시점경계의 체계적 진단이다. 이러한 설계의 비유의 또는 약한 결과는 기존 유의관계가 거친 측정, 선택표본, 공통추세 또는 낙관적 표준오차에 의존할 수 있음을 보여준다는 점에서 정보가치가 있다.</w:t>
      </w:r>
    </w:p>
    <w:p>
      <w:pPr>
        <w:spacing w:before="0" w:after="160" w:line="320" w:lineRule="auto"/>
        <w:jc w:val="both"/>
      </w:pPr>
      <w:r>
        <w:rPr>
          <w:rFonts w:ascii="Calibri" w:hAnsi="Calibri" w:eastAsia="Malgun Gothic"/>
          <w:b w:val="0"/>
          <w:i w:val="0"/>
          <w:color w:val="1F2933"/>
          <w:sz w:val="22"/>
        </w:rPr>
        <w:t>주요 한계는 텍스트지표가 투자금액, 사업품질과 조직역량을 직접 측정하지 못하고 영문공시 부족으로 한국어 보고서에 의존한다는 점이다. 실제 독립 제2코더 검증이 아직 필요하고 재무·지배구조 확장변수에 결측이 있으며 사건연구가 모든 비DART 정보를 제거하지 못한다. 현재 정책충격에는 기업별 처리목록도 없다. 따라서 현 버전은 엄격한 연관성 실증설계이지 완성된 인과논문은 아니다.</w:t>
      </w:r>
    </w:p>
    <w:tbl>
      <w:tblPr>
        <w:tblW w:type="dxa" w:w="9360"/>
        <w:jc w:val="left"/>
        <w:tblLayout w:type="fixed"/>
        <w:tblLook w:firstColumn="1" w:firstRow="1" w:lastColumn="0" w:lastRow="0" w:noHBand="0" w:noVBand="1" w:val="04A0"/>
        <w:tblInd w:w="120" w:type="dxa"/>
        <w:tblBorders>
          <w:top w:val="single" w:sz="6" w:space="0" w:color="C6D4E0"/>
          <w:left w:val="single" w:sz="6" w:space="0" w:color="C6D4E0"/>
          <w:bottom w:val="single" w:sz="6" w:space="0" w:color="C6D4E0"/>
          <w:right w:val="single" w:sz="6" w:space="0" w:color="C6D4E0"/>
          <w:insideH w:val="single" w:sz="6" w:space="0" w:color="C6D4E0"/>
          <w:insideV w:val="single" w:sz="6" w:space="0" w:color="C6D4E0"/>
        </w:tblBorders>
      </w:tblPr>
      <w:tblGrid>
        <w:gridCol w:w="9360"/>
      </w:tblGrid>
      <w:tr>
        <w:trPr>
          <w:cantSplit/>
        </w:trPr>
        <w:tc>
          <w:tcPr>
            <w:tcW w:type="dxa" w:w="9360"/>
            <w:vAlign w:val="center"/>
            <w:tcMar>
              <w:top w:w="80" w:type="dxa"/>
              <w:start w:w="120" w:type="dxa"/>
              <w:bottom w:w="80" w:type="dxa"/>
              <w:end w:w="120" w:type="dxa"/>
            </w:tcMar>
            <w:shd w:fill="FFF4DE"/>
          </w:tcPr>
          <w:p>
            <w:pPr>
              <w:spacing w:after="0" w:line="288" w:lineRule="auto"/>
            </w:pPr>
            <w:r>
              <w:rPr>
                <w:rFonts w:ascii="Calibri" w:hAnsi="Calibri" w:eastAsia="Malgun Gothic"/>
                <w:b/>
                <w:color w:val="1F4D78"/>
                <w:sz w:val="22"/>
              </w:rPr>
              <w:t xml:space="preserve">투고 표현 </w:t>
            </w:r>
            <w:r>
              <w:rPr>
                <w:rFonts w:ascii="Calibri" w:hAnsi="Calibri" w:eastAsia="Malgun Gothic"/>
                <w:color w:val="1F2933"/>
                <w:sz w:val="22"/>
              </w:rPr>
              <w:t>‘강건한 증거를 발견하지 못함’, ‘…와 연관됨’, ‘실행비용/실현위험 해석과 양립함’이라고 표현하고 ‘입증’, ‘원인’, ‘페널티’ 또는 ‘매개효과 성립’을 피한다.</w:t>
            </w:r>
          </w:p>
        </w:tc>
      </w:tr>
    </w:tbl>
    <w:p>
      <w:pPr>
        <w:spacing w:after="40"/>
      </w:pPr>
    </w:p>
    <w:p>
      <w:pPr>
        <w:pStyle w:val="Heading1"/>
      </w:pPr>
      <w:r>
        <w:t>13. 재현 및 파일안내</w:t>
      </w:r>
    </w:p>
    <w:p>
      <w:pPr>
        <w:spacing w:before="0" w:after="160" w:line="320" w:lineRule="auto"/>
        <w:jc w:val="both"/>
      </w:pPr>
      <w:r>
        <w:rPr>
          <w:rFonts w:ascii="Calibri" w:hAnsi="Calibri" w:eastAsia="Malgun Gothic"/>
          <w:b w:val="0"/>
          <w:i w:val="0"/>
          <w:color w:val="1F2933"/>
          <w:sz w:val="22"/>
        </w:rPr>
        <w:t>공식 패키지의 핵심데이터 폴더에는 동결분석패널, 엄격 정렬 사건자료, 사건별 동시공시 표식, 동시공시 상세와 변수사전이 있다. 모형·결과 폴더에는 요약 통합문서, 전체 경영 및 CAR 모형, 결합검정, 연도별 제외, 텍스트 시점경계와 동시공시 제외모형이 포함된다. 재현코드 폴더에는 최종모형, 사건감사와 모형감사 스크립트가 있다.</w:t>
      </w:r>
    </w:p>
    <w:p>
      <w:pPr>
        <w:spacing w:before="0" w:after="160" w:line="320" w:lineRule="auto"/>
        <w:jc w:val="both"/>
      </w:pPr>
      <w:r>
        <w:rPr>
          <w:rFonts w:ascii="Calibri" w:hAnsi="Calibri" w:eastAsia="Malgun Gothic"/>
          <w:b w:val="0"/>
          <w:i w:val="0"/>
          <w:color w:val="1F2933"/>
          <w:sz w:val="22"/>
        </w:rPr>
        <w:t>재현순서는 동결패널에서 파생변수 구축, 경영 및 CAR 모형 추정, FDR·VIF·영(0)값·시점경계 진단, DART 사건창 공시수집과 정제표본 재추정, 최종 자산·통합문서·이중언어 보고서 생성이다. API 키는 환경변수에서만 읽고 코드나 결과패키지에 기록하지 않는다.</w:t>
      </w:r>
    </w:p>
    <w:p>
      <w:pPr>
        <w:pStyle w:val="Heading1"/>
      </w:pPr>
      <w:r>
        <w:t>14. 참고자료</w:t>
      </w:r>
    </w:p>
    <w:p>
      <w:pPr>
        <w:spacing w:after="100"/>
        <w:ind w:left="259" w:hanging="259"/>
      </w:pPr>
      <w:r>
        <w:rPr>
          <w:rFonts w:ascii="Calibri" w:hAnsi="Calibri" w:eastAsia="Malgun Gothic"/>
          <w:color w:val="1F2933"/>
          <w:sz w:val="19"/>
        </w:rPr>
        <w:t>Republic of Korea Policy Briefing (2014). Manufacturing Innovation 3.0 Strategy. https://m.korea.kr/briefing/policyBriefingView.do?newsId=148780561</w:t>
      </w:r>
    </w:p>
    <w:p>
      <w:pPr>
        <w:spacing w:after="100"/>
        <w:ind w:left="259" w:hanging="259"/>
      </w:pPr>
      <w:r>
        <w:rPr>
          <w:rFonts w:ascii="Calibri" w:hAnsi="Calibri" w:eastAsia="Malgun Gothic"/>
          <w:color w:val="1F2933"/>
          <w:sz w:val="19"/>
        </w:rPr>
        <w:t>Ministry of Economy and Finance (2020). Korean New Deal / Digital New Deal. https://www.moef.go.kr/nw/nes/detailNesDtaView.do?menuNo=4010100&amp;searchBbsId1=MOSFBBS_000000000028&amp;searchNttId1=MOSF_000000000040637</w:t>
      </w:r>
    </w:p>
    <w:p>
      <w:pPr>
        <w:spacing w:after="100"/>
        <w:ind w:left="259" w:hanging="259"/>
      </w:pPr>
      <w:r>
        <w:rPr>
          <w:rFonts w:ascii="Calibri" w:hAnsi="Calibri" w:eastAsia="Malgun Gothic"/>
          <w:color w:val="1F2933"/>
          <w:sz w:val="19"/>
        </w:rPr>
        <w:t>Ministry of Economy and Finance (2020). Korean New Deal English policy document. https://english.moef.go.kr/co/fixFileDown.do?orgNm=Korean_New_Deal.pdf</w:t>
      </w:r>
    </w:p>
    <w:p>
      <w:pPr>
        <w:spacing w:after="100"/>
        <w:ind w:left="259" w:hanging="259"/>
      </w:pPr>
      <w:r>
        <w:rPr>
          <w:rFonts w:ascii="Calibri" w:hAnsi="Calibri" w:eastAsia="Malgun Gothic"/>
          <w:color w:val="1F2933"/>
          <w:sz w:val="19"/>
        </w:rPr>
        <w:t>National Assembly Budget Office (2023). Digital Transformation Policy Analysis. https://nabo.go.kr/board/file/down.do?fid=33317567</w:t>
      </w:r>
    </w:p>
    <w:p>
      <w:pPr>
        <w:spacing w:after="100"/>
        <w:ind w:left="259" w:hanging="259"/>
      </w:pPr>
      <w:r>
        <w:rPr>
          <w:rFonts w:ascii="Calibri" w:hAnsi="Calibri" w:eastAsia="Malgun Gothic"/>
          <w:color w:val="1F2933"/>
          <w:sz w:val="19"/>
        </w:rPr>
        <w:t>KOSMO / Ministry of SMEs and Startups (2026). Smart Factory Support Portal. https://www.smart-factory.kr/</w:t>
      </w:r>
    </w:p>
    <w:p>
      <w:pPr>
        <w:spacing w:after="100"/>
        <w:ind w:left="259" w:hanging="259"/>
      </w:pPr>
      <w:r>
        <w:rPr>
          <w:rFonts w:ascii="Calibri" w:hAnsi="Calibri" w:eastAsia="Malgun Gothic"/>
          <w:color w:val="1F2933"/>
          <w:sz w:val="19"/>
        </w:rPr>
        <w:t>Korea Development Institute (2019). Smart Policies for Smart Factories. https://www.kdi.re.kr/eng/research/reportView?pub_no=16563</w:t>
      </w:r>
    </w:p>
    <w:p>
      <w:pPr>
        <w:spacing w:after="100"/>
        <w:ind w:left="259" w:hanging="259"/>
      </w:pPr>
      <w:r>
        <w:rPr>
          <w:rFonts w:ascii="Calibri" w:hAnsi="Calibri" w:eastAsia="Malgun Gothic"/>
          <w:color w:val="1F2933"/>
          <w:sz w:val="19"/>
        </w:rPr>
        <w:t>Technology in Society (2024). Regional factors associated with smart factory adoption in South Korea. https://www.sciencedirect.com/science/article/pii/S0160791X24000575</w:t>
      </w:r>
    </w:p>
    <w:p>
      <w:pPr>
        <w:spacing w:after="100"/>
        <w:ind w:left="259" w:hanging="259"/>
      </w:pPr>
      <w:r>
        <w:rPr>
          <w:rFonts w:ascii="Calibri" w:hAnsi="Calibri" w:eastAsia="Malgun Gothic"/>
          <w:color w:val="1F2933"/>
          <w:sz w:val="19"/>
        </w:rPr>
        <w:t>Financial Supervisory Service (2026). DART periodic-disclosure filing deadlines. https://dart2.fss.or.kr/introduction/content2.do</w:t>
      </w:r>
    </w:p>
    <w:p>
      <w:pPr>
        <w:spacing w:after="100"/>
        <w:ind w:left="259" w:hanging="259"/>
      </w:pPr>
      <w:r>
        <w:rPr>
          <w:rFonts w:ascii="Calibri" w:hAnsi="Calibri" w:eastAsia="Malgun Gothic"/>
          <w:color w:val="1F2933"/>
          <w:sz w:val="19"/>
        </w:rPr>
        <w:t>OECD (2025). OECD Corporate Governance Factbook 2025: Korea. https://www.oecd.org/en/publications/oecd-corporate-governance-factbook-2025_4d9f40fc-en/korea_42075190-en.html</w:t>
      </w:r>
    </w:p>
    <w:p>
      <w:pPr>
        <w:spacing w:after="100"/>
        <w:ind w:left="259" w:hanging="259"/>
      </w:pPr>
      <w:r>
        <w:rPr>
          <w:rFonts w:ascii="Calibri" w:hAnsi="Calibri" w:eastAsia="Malgun Gothic"/>
          <w:color w:val="1F2933"/>
          <w:sz w:val="19"/>
        </w:rPr>
        <w:t>Financial Services Commission (2024). Corporate Value-up Plan. https://www.fsc.go.kr/eng/po110101/82795</w:t>
      </w:r>
    </w:p>
    <w:p>
      <w:pPr>
        <w:spacing w:after="100"/>
        <w:ind w:left="259" w:hanging="259"/>
      </w:pPr>
      <w:r>
        <w:rPr>
          <w:rFonts w:ascii="Calibri" w:hAnsi="Calibri" w:eastAsia="Malgun Gothic"/>
          <w:color w:val="1F2933"/>
          <w:sz w:val="19"/>
        </w:rPr>
        <w:t>OECD Economic Survey: Korea (2018). Reforming large business groups to promote productivity and inclusion in Korea. https://www.oecd.org/en/publications/oecd-economic-surveys-korea-2018_eco_surveys-kor-2018-en/full-report/component-8.html</w:t>
      </w:r>
    </w:p>
    <w:p>
      <w:pPr>
        <w:spacing w:after="100"/>
        <w:ind w:left="259" w:hanging="259"/>
      </w:pPr>
      <w:r>
        <w:rPr>
          <w:rFonts w:ascii="Calibri" w:hAnsi="Calibri" w:eastAsia="Malgun Gothic"/>
          <w:color w:val="1F2933"/>
          <w:sz w:val="19"/>
        </w:rPr>
        <w:t>American Economic Review (2012). Americans Do IT Better: US Multinationals and the Productivity Miracle. https://www.nber.org/papers/w13085</w:t>
      </w:r>
    </w:p>
    <w:p>
      <w:pPr>
        <w:spacing w:after="100"/>
        <w:ind w:left="259" w:hanging="259"/>
      </w:pPr>
      <w:r>
        <w:rPr>
          <w:rFonts w:ascii="Calibri" w:hAnsi="Calibri" w:eastAsia="Malgun Gothic"/>
          <w:color w:val="1F2933"/>
          <w:sz w:val="19"/>
        </w:rPr>
        <w:t>Management Decision (2022). Are smart manufacturing systems beneficial for all SMEs? Evidence from Korea. https://www.sciencedirect.com/science/article/pii/S002517472200060X</w:t>
      </w:r>
    </w:p>
    <w:p>
      <w:pPr>
        <w:spacing w:after="100"/>
        <w:ind w:left="259" w:hanging="259"/>
      </w:pPr>
      <w:r>
        <w:rPr>
          <w:rFonts w:ascii="Calibri" w:hAnsi="Calibri" w:eastAsia="Malgun Gothic"/>
          <w:color w:val="1F2933"/>
          <w:sz w:val="19"/>
        </w:rPr>
        <w:t>Technology in Society (2024). How does digitalization drive urban industrial locations? An empirical examination of South Korea's experience. https://www.sciencedirect.com/science/article/pii/S0160791X24002562</w:t>
      </w:r>
    </w:p>
    <w:p>
      <w:pPr>
        <w:spacing w:after="100"/>
        <w:ind w:left="259" w:hanging="259"/>
      </w:pPr>
      <w:r>
        <w:rPr>
          <w:rFonts w:ascii="Calibri" w:hAnsi="Calibri" w:eastAsia="Malgun Gothic"/>
          <w:color w:val="1F2933"/>
          <w:sz w:val="19"/>
        </w:rPr>
        <w:t>Journal of Econometrics (2021). Difference-in-Differences with multiple time periods. https://doi.org/10.1016/j.jeconom.2020.12.001</w:t>
      </w:r>
    </w:p>
    <w:p>
      <w:pPr>
        <w:spacing w:after="100"/>
        <w:ind w:left="259" w:hanging="259"/>
      </w:pPr>
      <w:r>
        <w:rPr>
          <w:rFonts w:ascii="Calibri" w:hAnsi="Calibri" w:eastAsia="Malgun Gothic"/>
          <w:color w:val="1F2933"/>
          <w:sz w:val="19"/>
        </w:rPr>
        <w:t>Journal of Econometrics (2021). Estimating dynamic treatment effects in event studies with heterogeneous treatment effects. https://doi.org/10.1016/j.jeconom.2020.09.006</w:t>
      </w:r>
    </w:p>
    <w:p>
      <w:pPr>
        <w:spacing w:after="100"/>
        <w:ind w:left="259" w:hanging="259"/>
      </w:pPr>
      <w:r>
        <w:rPr>
          <w:rFonts w:ascii="Calibri" w:hAnsi="Calibri" w:eastAsia="Malgun Gothic"/>
          <w:color w:val="1F2933"/>
          <w:sz w:val="19"/>
        </w:rPr>
        <w:t>Review of Financial Studies (2009). Estimating standard errors in finance panel data sets. https://academic.oup.com/rfs/article-abstract/22/1/435/1585940</w:t>
      </w:r>
    </w:p>
    <w:p>
      <w:pPr>
        <w:spacing w:after="100"/>
        <w:ind w:left="259" w:hanging="259"/>
      </w:pPr>
      <w:r>
        <w:rPr>
          <w:rFonts w:ascii="Calibri" w:hAnsi="Calibri" w:eastAsia="Malgun Gothic"/>
          <w:color w:val="1F2933"/>
          <w:sz w:val="19"/>
        </w:rPr>
        <w:t>Journal of Economic Literature (1997). Event Studies in Economics and Finance. https://www.jstor.org/stable/2729691</w:t>
      </w:r>
    </w:p>
    <w:p>
      <w:pPr>
        <w:spacing w:after="100"/>
        <w:ind w:left="259" w:hanging="259"/>
      </w:pPr>
      <w:r>
        <w:rPr>
          <w:rFonts w:ascii="Calibri" w:hAnsi="Calibri" w:eastAsia="Malgun Gothic"/>
          <w:color w:val="1F2933"/>
          <w:sz w:val="19"/>
        </w:rPr>
        <w:t>Journal of Management Studies (2021). A Systematic Review of the Literature on Digital Transformation. https://onlinelibrary.wiley.com/doi/10.1111/joms.12639</w:t>
      </w:r>
    </w:p>
    <w:sectPr w:rsidR="00FC693F" w:rsidRPr="0006063C" w:rsidSect="00034616">
      <w:headerReference w:type="default" r:id="rId9"/>
      <w:footerReference w:type="default" r:id="rId10"/>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C6773"/>
        <w:sz w:val="18"/>
      </w:rPr>
      <w:t xml:space="preserve">p.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6DEE6"/>
      </w:pBdr>
    </w:pPr>
    <w:r>
      <w:rPr>
        <w:rFonts w:ascii="Calibri" w:hAnsi="Calibri" w:eastAsia="Malgun Gothic"/>
        <w:b/>
        <w:color w:val="5C6773"/>
        <w:sz w:val="18"/>
      </w:rPr>
      <w:t>한국 상장기업 디지털 전략 연구 | 공식 실증보고서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