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sz w:val="36"/>
        </w:rPr>
        <w:t>新增控制变量与模型增强报告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本报告补充检验商业模式导向数字披露与未来经营效率之间的关系。处理范围不包括人工句子验证；本次重点是新增财务控制变量、检查缺失率、复核主模型是否被资产结构、无形资产基础、经营现金流和资本开支解释。</w:t>
      </w:r>
    </w:p>
    <w:p>
      <w:pPr>
        <w:pStyle w:val="Heading1"/>
      </w:pPr>
      <w:r>
        <w:rPr>
          <w:rFonts w:ascii="Malgun Gothic" w:hAnsi="Malgun Gothic" w:eastAsia="Malgun Gothic"/>
        </w:rPr>
        <w:t>一  数据来源与变量构造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基础样本来自既有冻结面板，样本单位为公司年度。新增科目来自 OpenDART 单一公司全部财务报表接口 fnlttSinglAcntAll，报告代码使用年度报告 11011。接口返回字段包含合并或个别报表口径、财务报表类别、会计科目名称和当期金额。本次优先沿用原核心财务面板中的合并或个别报表口径，无法识别的会计科目保持缺失，不填为 0。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BMIDisclosure 指商业模式导向数字披露，即年报中同时包含数字技术、企业具体行为和商业模式变化含义的句子占有效句子的比例，并在主模型中标准化。它是披露指标，不等同于企业实际已经完成数字化转型。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变量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构造方式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加入意义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R&amp;D intensity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RAndDExpense / abs(Sales)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控制企业创新投入。覆盖率低时只作补充检验。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无形资产比率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IntangibleAssets / TotalAssets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控制软件、开发支出和知识资产基础。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固定资产比率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PPE / TotalAssets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控制资本密集度和资产结构。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经营现金流比率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OperatingCashFlow / TotalAssets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控制经营质量和数字战略执行能力。</w:t>
            </w:r>
          </w:p>
        </w:tc>
      </w:tr>
      <w:t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资本开支强度</w:t>
            </w:r>
          </w:p>
        </w:tc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abs(CAPEX) / TotalAssets</w:t>
            </w:r>
          </w:p>
        </w:tc>
        <w:tc>
          <w:tcPr>
            <w:tcW w:type="dxa" w:w="481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控制物理投资和扩张投入。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二  缺失率检查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变量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非缺失/样本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覆盖率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均值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中位数</w:t>
            </w:r>
          </w:p>
        </w:tc>
      </w:tr>
      <w:tr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OpenDART研发强度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565/14,098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4.0%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0.2276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0.0354</w:t>
            </w:r>
          </w:p>
        </w:tc>
      </w:tr>
      <w:tr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无形资产比率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13,900/14,098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98.6%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0.0373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0.0137</w:t>
            </w:r>
          </w:p>
        </w:tc>
      </w:tr>
      <w:tr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固定资产比率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14,052/14,098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99.7%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0.2931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0.2788</w:t>
            </w:r>
          </w:p>
        </w:tc>
      </w:tr>
      <w:tr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经营现金流比率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13,997/14,098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99.3%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0.0343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0.0409</w:t>
            </w:r>
          </w:p>
        </w:tc>
      </w:tr>
      <w:tr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资本开支强度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13,000/14,098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92.2%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0.0382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0.0213</w:t>
            </w:r>
          </w:p>
        </w:tc>
      </w:tr>
      <w:tr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文本研发比例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9,040/14,098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64.1%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0.0549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0.0222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结果显示，无形资产比率、固定资产比率、经营现金流比率和资本开支强度覆盖率较高，可以用于扩展稳健性检验。OpenDART 损益表中的研发费用覆盖率只有约 4.0%，原因是很多公司没有把研发费用作为统一科目单独列示。因此 OpenDART 研发强度不适合作为主模型控制变量；年报文本中披露的研发比例覆盖率约 64.1%，可以作为补充口径。</w:t>
      </w:r>
    </w:p>
    <w:p>
      <w:pPr>
        <w:pStyle w:val="Heading1"/>
      </w:pPr>
      <w:r>
        <w:rPr>
          <w:rFonts w:ascii="Malgun Gothic" w:hAnsi="Malgun Gothic" w:eastAsia="Malgun Gothic"/>
        </w:rPr>
        <w:t>三  模型结果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模型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核心变量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系数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标准误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p值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N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within R²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基准模型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0.030243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0.006895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&lt;0.001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13,980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0.0556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高覆盖扩展控制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0.029818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0.007542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&lt;0.001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12,658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0.0585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全部扩展含OpenDART研发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0.024829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0.024023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0.3044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480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0.1234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加入文本研发比例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0.029936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0.009805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0.0023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8,929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0.0602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BMI与非BMI同时进入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0.031247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0.007246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&lt;0.001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13,980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0.0557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非BMI披露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非BMI披露(z)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-0.005953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0.007112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0.4027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13,980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0.0557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是否有BMI披露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是否有BMI披露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0.016598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0.008904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0.0624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13,980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0.0527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基准模型中，BMIDisclosure 系数为 0.030243，p&lt;0.001。加入无形资产、固定资产、经营现金流和资本开支四类高覆盖控制变量后，系数为 0.029818，p&lt;0.001，样本量为 12,658。方向和显著性基本保持，说明主结果没有被这些资产结构和经营质量变量完全解释。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加入 OpenDART 研发强度后的全扩展模型样本只剩 480 个公司年度，系数不显著。这一结果更主要反映研发费用科目覆盖率过低导致样本选择变化，而不能据此否定基准模型。使用年报文本中报告的研发比例时，样本量为 8,929，BMIDisclosure 仍为正且显著。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同时加入 NonBMIDisclosure 后，BMIDisclosure 系数为 0.031247，p&lt;0.001；NonBMIDisclosure 系数为 -0.005953，p=0.403，不显著。这个结果支持本文的核心区分：不是所有数字披露都和未来经营效率相关，更关键的是与平台、服务、渠道和收入模式相关的商业模式导向披露。</w:t>
      </w:r>
    </w:p>
    <w:p>
      <w:pPr>
        <w:pStyle w:val="Heading1"/>
      </w:pPr>
      <w:r>
        <w:rPr>
          <w:rFonts w:ascii="Malgun Gothic" w:hAnsi="Malgun Gothic" w:eastAsia="Malgun Gothic"/>
        </w:rPr>
        <w:t>四  稳健性与安慰剂检验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检验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变量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系数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p值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N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判断</w:t>
            </w:r>
          </w:p>
        </w:tc>
      </w:tr>
      <w:t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KOSPI样本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0.027572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0.0193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5,001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支持</w:t>
            </w:r>
          </w:p>
        </w:tc>
      </w:tr>
      <w:t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KOSDAQ样本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0.032089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&lt;0.001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8,979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支持</w:t>
            </w:r>
          </w:p>
        </w:tc>
      </w:tr>
      <w:t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t+1窗口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0.014978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0.0018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16,246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支持</w:t>
            </w:r>
          </w:p>
        </w:tc>
      </w:tr>
      <w:t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t+3窗口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0.027634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0.0047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11,857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支持</w:t>
            </w:r>
          </w:p>
        </w:tc>
      </w:tr>
      <w:t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资产周转率变化量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0.023180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0.0034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13,980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支持</w:t>
            </w:r>
          </w:p>
        </w:tc>
      </w:tr>
      <w:t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未来BMI安慰剂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未来BMI披露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0.002624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0.6928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14,064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不支持反向解释</w:t>
            </w:r>
          </w:p>
        </w:tc>
      </w:tr>
      <w:t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过去趋势安慰剂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-0.000601</w:t>
            </w:r>
          </w:p>
        </w:tc>
        <w:tc>
          <w:tcPr>
            <w:tcW w:type="dxa" w:w="10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0.9214</w:t>
            </w:r>
          </w:p>
        </w:tc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14,471</w:t>
            </w:r>
          </w:p>
        </w:tc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不支持反向解释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KOSPI 与 KOSDAQ 子样本均显示正向显著关系，说明结果不只来自某一个市场板块。t+1、t+2、t+3 窗口均为正向显著，说明结果不是单一时间窗口造成。两个安慰剂检验不显著，说明当前结果没有明显被未来披露或过去效率趋势驱动。但这些检验仍不能把固定效应模型变成强因果识别。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五  Python与Stata复核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模型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变量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Python系数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Stata系数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系数差异</w:t>
            </w:r>
          </w:p>
        </w:tc>
        <w:tc>
          <w:tcPr>
            <w:tcW w:type="dxa" w:w="9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sz w:val="17"/>
              </w:rPr>
              <w:t>N</w:t>
            </w:r>
          </w:p>
        </w:tc>
      </w:tr>
      <w:tr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基准模型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0.030243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0.030243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2.01e-16</w:t>
            </w:r>
          </w:p>
        </w:tc>
        <w:tc>
          <w:tcPr>
            <w:tcW w:type="dxa" w:w="9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一致</w:t>
            </w:r>
          </w:p>
        </w:tc>
      </w:tr>
      <w:tr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高覆盖扩展控制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0.029818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0.029818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2.01e-16</w:t>
            </w:r>
          </w:p>
        </w:tc>
        <w:tc>
          <w:tcPr>
            <w:tcW w:type="dxa" w:w="9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一致</w:t>
            </w:r>
          </w:p>
        </w:tc>
      </w:tr>
      <w:tr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全部扩展含研发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0.024829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0.024829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4.02e-16</w:t>
            </w:r>
          </w:p>
        </w:tc>
        <w:tc>
          <w:tcPr>
            <w:tcW w:type="dxa" w:w="9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一致</w:t>
            </w:r>
          </w:p>
        </w:tc>
      </w:tr>
      <w:tr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BMI与非BMI同时进入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BMI披露(z)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0.031247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0.031247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1.98e-16</w:t>
            </w:r>
          </w:p>
        </w:tc>
        <w:tc>
          <w:tcPr>
            <w:tcW w:type="dxa" w:w="9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一致</w:t>
            </w:r>
          </w:p>
        </w:tc>
      </w:tr>
      <w:tr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BMI与非BMI同时进入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非BMI披露(z)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-0.005953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-0.005953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1.99e-16</w:t>
            </w:r>
          </w:p>
        </w:tc>
        <w:tc>
          <w:tcPr>
            <w:tcW w:type="dxa" w:w="9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一致</w:t>
            </w:r>
          </w:p>
        </w:tc>
      </w:tr>
      <w:tr>
        <w:tc>
          <w:tcPr>
            <w:tcW w:type="dxa" w:w="23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是否有BMI披露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是否有BMI披露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0.016598</w:t>
            </w:r>
          </w:p>
        </w:tc>
        <w:tc>
          <w:tcPr>
            <w:tcW w:type="dxa" w:w="13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0.016598</w:t>
            </w:r>
          </w:p>
        </w:tc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1.01e-16</w:t>
            </w:r>
          </w:p>
        </w:tc>
        <w:tc>
          <w:tcPr>
            <w:tcW w:type="dxa" w:w="90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一致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Python 与 Stata 的核心模型系数和样本量一致，标准误存在极小差异，主要来自固定效应吸收后的有限样本修正实现差异，不改变统计判断。</w:t>
      </w:r>
    </w:p>
    <w:p>
      <w:pPr>
        <w:pStyle w:val="Heading1"/>
      </w:pPr>
      <w:r>
        <w:rPr>
          <w:rFonts w:ascii="Malgun Gothic" w:hAnsi="Malgun Gothic" w:eastAsia="Malgun Gothic"/>
        </w:rPr>
        <w:t>六  最终写法建议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本文主模型建议继续使用基础控制变量，扩展控制变量作为稳健性检验呈现。原因是基础模型样本覆盖率高，且控制了规模、杠杆、盈利能力、销售增长、流动性、营业利润率、年龄、亏损状态、文本篇幅、年度股票收益、年度波动率和基期资产周转率。新增高覆盖控制变量的结果可以增强主结论；OpenDART 研发强度因缺失严重，不宜进入主模型。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结论可以表述为：韩国 KOSPI 与 KOSDAQ 上市公司中，商业模式导向数字披露与未来经营效率存在稳定的正向条件关联。该关系在控制资产结构、无形资产基础、经营现金流和资本开支后仍然存在。本文不能表述为数字披露已经证明导致经营效率提高，也不能把披露变量解释为企业真实数字化实施程度。</w:t>
      </w:r>
    </w:p>
    <w:p>
      <w:pPr>
        <w:pStyle w:val="Heading1"/>
      </w:pPr>
      <w:r>
        <w:rPr>
          <w:rFonts w:ascii="Malgun Gothic" w:hAnsi="Malgun Gothic" w:eastAsia="Malgun Gothic"/>
        </w:rPr>
        <w:t>参考来源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OpenDART fnlttSinglAcntAll：韩国金融监督院电子公示系统提供的单一公司全部财务报表接口，本次用于提取资产负债表、损益表和现金流量表科目。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Benjamini and Hochberg (1995, Journal of the Royal Statistical Society Series B)：BH-FDR 多重检验校正依据。</w:t>
      </w:r>
    </w:p>
    <w:p>
      <w:pPr>
        <w:spacing w:after="120" w:line="276" w:lineRule="auto"/>
      </w:pPr>
      <w:r>
        <w:rPr>
          <w:rFonts w:ascii="Malgun Gothic" w:hAnsi="Malgun Gothic" w:eastAsia="Malgun Gothic"/>
          <w:sz w:val="21"/>
        </w:rPr>
        <w:t>Benjamini and Yekutieli (2001, Annals of Statistics)：BY-FDR 保守多重检验校正依据。完整链接保存在同目录说明文件中。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