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数据分析与机器学习作品集</w:t>
      </w:r>
    </w:p>
    <w:p>
      <w:pPr>
        <w:pStyle w:val="Title"/>
      </w:pPr>
      <w:r>
        <w:t>Ames 房价预测</w:t>
      </w:r>
    </w:p>
    <w:p>
      <w:pPr>
        <w:pStyle w:val="Subtitle"/>
      </w:pPr>
      <w:r>
        <w:t>从基线筛选到稳健四模型融合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04"/>
      </w:tblGrid>
      <w:tr>
        <w:tc>
          <w:tcPr>
            <w:tcW w:type="dxa" w:w="9858"/>
            <w:shd w:fill="2F7D67"/>
          </w:tcPr>
          <w:p>
            <w:r/>
          </w:p>
        </w:tc>
      </w:tr>
    </w:tbl>
    <w:p>
      <w:r>
        <w:t>围绕数据语义、交叉验证、模型互补性和误差边界完成的一次端到端回归实践。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2464"/>
            <w:shd w:fill="EAF2F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Kaggle Public</w:t>
            </w:r>
          </w:p>
        </w:tc>
        <w:tc>
          <w:tcPr>
            <w:tcW w:type="dxa" w:w="2464"/>
            <w:shd w:fill="EAF2F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排名快照</w:t>
            </w:r>
          </w:p>
        </w:tc>
        <w:tc>
          <w:tcPr>
            <w:tcW w:type="dxa" w:w="2464"/>
            <w:shd w:fill="EAF2F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排名百分比</w:t>
            </w:r>
          </w:p>
        </w:tc>
        <w:tc>
          <w:tcPr>
            <w:tcW w:type="dxa" w:w="2464"/>
            <w:shd w:fill="EAF2F6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2F6B8A"/>
                <w:sz w:val="17"/>
              </w:rPr>
              <w:t>稳健本地 RMSE</w:t>
            </w:r>
          </w:p>
        </w:tc>
      </w:tr>
      <w:tr>
        <w:tc>
          <w:tcPr>
            <w:tcW w:type="dxa" w:w="2464"/>
            <w:shd w:fill="E9F3E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2933"/>
                <w:sz w:val="28"/>
              </w:rPr>
              <w:t>0.12163</w:t>
            </w:r>
          </w:p>
        </w:tc>
        <w:tc>
          <w:tcPr>
            <w:tcW w:type="dxa" w:w="2464"/>
            <w:shd w:fill="E9F3E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2933"/>
                <w:sz w:val="28"/>
              </w:rPr>
              <w:t>430 / 3,454</w:t>
            </w:r>
          </w:p>
        </w:tc>
        <w:tc>
          <w:tcPr>
            <w:tcW w:type="dxa" w:w="2464"/>
            <w:shd w:fill="E9F3E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2933"/>
                <w:sz w:val="28"/>
              </w:rPr>
              <w:t>Top 12.45%</w:t>
            </w:r>
          </w:p>
        </w:tc>
        <w:tc>
          <w:tcPr>
            <w:tcW w:type="dxa" w:w="2464"/>
            <w:shd w:fill="E9F3EF"/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E2933"/>
                <w:sz w:val="28"/>
              </w:rPr>
              <w:t>0.10483</w:t>
            </w:r>
          </w:p>
        </w:tc>
      </w:tr>
    </w:tbl>
    <w:p/>
    <w:p>
      <w:r>
        <w:rPr>
          <w:b/>
        </w:rPr>
        <w:t xml:space="preserve">最终结论  </w:t>
      </w:r>
      <w:r>
        <w:t>V3 比 V2 的公开分数改善 0.00042，排名快照由 493 升至 430。结果可复现，但本地验证仍明显偏乐观，价格两端仍是主要误差来源。</w:t>
      </w:r>
    </w:p>
    <w:p>
      <w:pPr>
        <w:spacing w:before="400"/>
      </w:pPr>
      <w:r>
        <w:rPr>
          <w:rFonts w:ascii="Microsoft YaHei" w:hAnsi="Microsoft YaHei" w:eastAsia="Microsoft YaHei"/>
          <w:color w:val="66717D"/>
          <w:sz w:val="18"/>
        </w:rPr>
        <w:t>结果快照：2026-08-24  |  Kaggle team: kimzaiyi1</w:t>
      </w:r>
    </w:p>
    <w:p>
      <w:r>
        <w:br w:type="page"/>
      </w:r>
    </w:p>
    <w:p>
      <w:pPr>
        <w:pStyle w:val="Heading1"/>
      </w:pPr>
      <w:r>
        <w:t>执行摘要</w:t>
      </w:r>
    </w:p>
    <w:p>
      <w:r>
        <w:t>本项目使用 Ames Housing 数据预测住宅成交价格。最终方案由 Elastic Net、Gradient Boosting、XGBoost 和 RBF-SVR 组成，通过重复 OOF 预测、目标分层的元交叉验证和轻度线性校准生成提交结果。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9F3EF"/>
          </w:tcPr>
          <w:p>
            <w:r>
              <w:rPr>
                <w:b/>
                <w:color w:val="2F6B8A"/>
              </w:rPr>
              <w:t xml:space="preserve">答案先行  </w:t>
            </w:r>
            <w:r>
              <w:t>V3 Public Score 为 0.12163，排名快照为 430 / 3,454（Top 12.45%）。相较 V2 有真实但有限的提升。本地 0.10483 没有完全兑现到榜单，因此报告把验证偏差和尾部误差作为核心结论。</w:t>
            </w:r>
          </w:p>
        </w:tc>
      </w:tr>
    </w:tbl>
    <w:p>
      <w:pPr>
        <w:pStyle w:val="ListBullet"/>
      </w:pPr>
      <w:r>
        <w:t>有效做法：结构性缺失值处理、对数目标、OOF 选型、模型互补性检查。</w:t>
      </w:r>
    </w:p>
    <w:p>
      <w:pPr>
        <w:pStyle w:val="ListBullet"/>
      </w:pPr>
      <w:r>
        <w:t>V3 改进：加入 RBF-SVR、使用目标分层元交叉验证、限制校准幅度。</w:t>
      </w:r>
    </w:p>
    <w:p>
      <w:pPr>
        <w:pStyle w:val="ListBullet"/>
      </w:pPr>
      <w:r>
        <w:t>主要局限：样本量小、重复实验造成选择偏差、价格两端仍回归均值。</w:t>
      </w:r>
    </w:p>
    <w:p>
      <w:pPr>
        <w:pStyle w:val="ListBullet"/>
      </w:pPr>
      <w:r>
        <w:t>可信边界：未使用外部成交价或公开泄漏标签，不承诺隐藏测试集达到 0.06。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1146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kaggle_res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146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Kaggle 公开分数与排名快照</w:t>
      </w:r>
    </w:p>
    <w:p>
      <w:r>
        <w:br w:type="page"/>
      </w:r>
    </w:p>
    <w:p>
      <w:pPr>
        <w:pStyle w:val="Heading1"/>
      </w:pPr>
      <w:r>
        <w:t>1. 问题定义与数据</w:t>
      </w:r>
    </w:p>
    <w:p>
      <w:r>
        <w:t>训练集包含 1,460 套房屋、81 列；测试集包含 1,459 套房屋、80 列。除 Id 外共有 79 个预测变量，覆盖面积、年份、质量等级、社区和房屋类型。目标变量 SalePrice 只出现在训练集。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数据项</w:t>
            </w:r>
          </w:p>
        </w:tc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训练集</w:t>
            </w:r>
          </w:p>
        </w:tc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测试集</w:t>
            </w:r>
          </w:p>
        </w:tc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处理判断</w:t>
            </w:r>
          </w:p>
        </w:tc>
      </w:tr>
      <w:tr>
        <w:tc>
          <w:tcPr>
            <w:tcW w:type="dxa" w:w="2464"/>
            <w:vAlign w:val="center"/>
          </w:tcPr>
          <w:p>
            <w:r>
              <w:t>行数</w:t>
            </w:r>
          </w:p>
        </w:tc>
        <w:tc>
          <w:tcPr>
            <w:tcW w:type="dxa" w:w="2464"/>
            <w:vAlign w:val="center"/>
          </w:tcPr>
          <w:p>
            <w:r>
              <w:t>1,460</w:t>
            </w:r>
          </w:p>
        </w:tc>
        <w:tc>
          <w:tcPr>
            <w:tcW w:type="dxa" w:w="2464"/>
            <w:vAlign w:val="center"/>
          </w:tcPr>
          <w:p>
            <w:r>
              <w:t>1,459</w:t>
            </w:r>
          </w:p>
        </w:tc>
        <w:tc>
          <w:tcPr>
            <w:tcW w:type="dxa" w:w="2464"/>
            <w:vAlign w:val="center"/>
          </w:tcPr>
          <w:p>
            <w:r>
              <w:t>训练时移除 2 个明确面积异常样本</w:t>
            </w:r>
          </w:p>
        </w:tc>
      </w:tr>
      <w:tr>
        <w:tc>
          <w:tcPr>
            <w:tcW w:type="dxa" w:w="2464"/>
            <w:vAlign w:val="center"/>
            <w:shd w:fill="F2F4F5"/>
          </w:tcPr>
          <w:p>
            <w:r>
              <w:t>预测变量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79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79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Id 不作为特征</w:t>
            </w:r>
          </w:p>
        </w:tc>
      </w:tr>
      <w:tr>
        <w:tc>
          <w:tcPr>
            <w:tcW w:type="dxa" w:w="2464"/>
            <w:vAlign w:val="center"/>
          </w:tcPr>
          <w:p>
            <w:r>
              <w:t>目标</w:t>
            </w:r>
          </w:p>
        </w:tc>
        <w:tc>
          <w:tcPr>
            <w:tcW w:type="dxa" w:w="2464"/>
            <w:vAlign w:val="center"/>
          </w:tcPr>
          <w:p>
            <w:r>
              <w:t>SalePrice</w:t>
            </w:r>
          </w:p>
        </w:tc>
        <w:tc>
          <w:tcPr>
            <w:tcW w:type="dxa" w:w="2464"/>
            <w:vAlign w:val="center"/>
          </w:tcPr>
          <w:p>
            <w:r>
              <w:t>隐藏</w:t>
            </w:r>
          </w:p>
        </w:tc>
        <w:tc>
          <w:tcPr>
            <w:tcW w:type="dxa" w:w="2464"/>
            <w:vAlign w:val="center"/>
          </w:tcPr>
          <w:p>
            <w:r>
              <w:t>预测 log(SalePrice)，提交前还原</w:t>
            </w:r>
          </w:p>
        </w:tc>
      </w:tr>
      <w:tr>
        <w:tc>
          <w:tcPr>
            <w:tcW w:type="dxa" w:w="2464"/>
            <w:vAlign w:val="center"/>
            <w:shd w:fill="F2F4F5"/>
          </w:tcPr>
          <w:p>
            <w:r>
              <w:t>主要缺失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PoolQC、Alley、Fence 等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同类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区分无设施与未知</w:t>
            </w:r>
          </w:p>
        </w:tc>
      </w:tr>
    </w:tbl>
    <w:p/>
    <w:p>
      <w:r>
        <w:t>比赛评价接近对数价格上的均方根误差。直接预测 log(SalePrice) 可以减弱少数高价房对平方误差的支配，并让误差更接近相对偏差。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111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distribu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1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原始房价右偏，对数变换后更接近对称分布</w:t>
      </w:r>
    </w:p>
    <w:p>
      <w:pPr>
        <w:pStyle w:val="Heading1"/>
      </w:pPr>
      <w:r>
        <w:t>2. 数据预处理判断</w:t>
      </w:r>
    </w:p>
    <w:p>
      <w:pPr>
        <w:pStyle w:val="Heading2"/>
      </w:pPr>
      <w:r>
        <w:t>2.1 缺失值不是一个问题</w:t>
      </w:r>
    </w:p>
    <w:p>
      <w:r>
        <w:t>PoolQC、GarageType、BsmtQual 等字段中的空值经常表示房屋没有对应设施。本项目把这类值编码为 None；只有设施存在但描述字段仍为空时才标记 Missing。剩余数值缺失在每个训练折内部按中位数填充，并增加缺失指示变量。</w:t>
      </w:r>
    </w:p>
    <w:p>
      <w:r>
        <w:t>LotFrontage 与社区布局相关，因此 SVR 分支按训练折的 Neighborhood 中位数补充，无法匹配时再使用全局中位数。验证折没有参与统计量计算。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109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issingn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0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缺失最多的字段及其业务语义</w:t>
      </w:r>
    </w:p>
    <w:p>
      <w:pPr>
        <w:pStyle w:val="Heading2"/>
      </w:pPr>
      <w:r>
        <w:t>2.2 异常值处理保持克制</w:t>
      </w:r>
    </w:p>
    <w:p>
      <w:r>
        <w:t>Id 524 和 1299 的居住面积超过 4,000 平方英尺，但成交价明显偏低，符合预先设定的面积异常规则，仅在模型训练阶段移除。其余高价和大面积样本保留，避免为了降低本地误差而删除真正困难的房屋。</w:t>
      </w:r>
    </w:p>
    <w:p>
      <w:pPr>
        <w:pStyle w:val="Heading2"/>
      </w:pPr>
      <w:r>
        <w:t>2.3 特征工程</w:t>
      </w:r>
    </w:p>
    <w:p>
      <w:pPr>
        <w:pStyle w:val="ListBullet"/>
      </w:pPr>
      <w:r>
        <w:t>规模：总使用面积、总浴室数、总门廊面积、总室外面积。</w:t>
      </w:r>
    </w:p>
    <w:p>
      <w:pPr>
        <w:pStyle w:val="ListBullet"/>
      </w:pPr>
      <w:r>
        <w:t>时间：售出时房龄、翻新后年限、车库年龄。</w:t>
      </w:r>
    </w:p>
    <w:p>
      <w:pPr>
        <w:pStyle w:val="ListBullet"/>
      </w:pPr>
      <w:r>
        <w:t>设施：车库、地下室、壁炉、泳池、二层和砖石存在标记。</w:t>
      </w:r>
    </w:p>
    <w:p>
      <w:pPr>
        <w:pStyle w:val="ListBullet"/>
      </w:pPr>
      <w:r>
        <w:t>关系：质量×居住面积、质量×总面积、车库容量×车库面积。</w:t>
      </w:r>
    </w:p>
    <w:p>
      <w:pPr>
        <w:pStyle w:val="ListBullet"/>
      </w:pPr>
      <w:r>
        <w:t>顺序：质量、地下室采光、车库完成度等类别映射为等级分数。</w:t>
      </w:r>
    </w:p>
    <w:p>
      <w:pPr>
        <w:pStyle w:val="Heading1"/>
      </w:pPr>
      <w:r>
        <w:t>3. 模型筛选与取舍</w:t>
      </w:r>
    </w:p>
    <w:p>
      <w:r>
        <w:t>初始候选覆盖十类模型。所有比较使用 OOF RMSE，训练拟合误差不参与选型。最佳单模是 Lasso/Elastic Net，Gradient Boosting 和 XGBoost 单模略弱但残差互补。随机森林、Extra Trees 和早期 SVR 版本落后，因此没有为增加模型数量而保留。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基线模型</w:t>
            </w:r>
          </w:p>
        </w:tc>
        <w:tc>
          <w:tcPr>
            <w:tcW w:type="dxa" w:w="3286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OOF RMSE</w:t>
            </w:r>
          </w:p>
        </w:tc>
        <w:tc>
          <w:tcPr>
            <w:tcW w:type="dxa" w:w="3286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折间标准差</w:t>
            </w:r>
          </w:p>
        </w:tc>
      </w:tr>
      <w:tr>
        <w:tc>
          <w:tcPr>
            <w:tcW w:type="dxa" w:w="3286"/>
            <w:vAlign w:val="center"/>
          </w:tcPr>
          <w:p>
            <w:r>
              <w:t>Lasso</w:t>
            </w:r>
          </w:p>
        </w:tc>
        <w:tc>
          <w:tcPr>
            <w:tcW w:type="dxa" w:w="3286"/>
            <w:vAlign w:val="center"/>
          </w:tcPr>
          <w:p>
            <w:r>
              <w:t>0.11000</w:t>
            </w:r>
          </w:p>
        </w:tc>
        <w:tc>
          <w:tcPr>
            <w:tcW w:type="dxa" w:w="3286"/>
            <w:vAlign w:val="center"/>
          </w:tcPr>
          <w:p>
            <w:r>
              <w:t>0.00746</w:t>
            </w:r>
          </w:p>
        </w:tc>
      </w:tr>
      <w:tr>
        <w:tc>
          <w:tcPr>
            <w:tcW w:type="dxa" w:w="3286"/>
            <w:vAlign w:val="center"/>
            <w:shd w:fill="F2F4F5"/>
          </w:tcPr>
          <w:p>
            <w:r>
              <w:t>ElasticNet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0.11024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0.00747</w:t>
            </w:r>
          </w:p>
        </w:tc>
      </w:tr>
      <w:tr>
        <w:tc>
          <w:tcPr>
            <w:tcW w:type="dxa" w:w="3286"/>
            <w:vAlign w:val="center"/>
          </w:tcPr>
          <w:p>
            <w:r>
              <w:t>Ridge</w:t>
            </w:r>
          </w:p>
        </w:tc>
        <w:tc>
          <w:tcPr>
            <w:tcW w:type="dxa" w:w="3286"/>
            <w:vAlign w:val="center"/>
          </w:tcPr>
          <w:p>
            <w:r>
              <w:t>0.11219</w:t>
            </w:r>
          </w:p>
        </w:tc>
        <w:tc>
          <w:tcPr>
            <w:tcW w:type="dxa" w:w="3286"/>
            <w:vAlign w:val="center"/>
          </w:tcPr>
          <w:p>
            <w:r>
              <w:t>0.00846</w:t>
            </w:r>
          </w:p>
        </w:tc>
      </w:tr>
      <w:tr>
        <w:tc>
          <w:tcPr>
            <w:tcW w:type="dxa" w:w="3286"/>
            <w:vAlign w:val="center"/>
            <w:shd w:fill="F2F4F5"/>
          </w:tcPr>
          <w:p>
            <w:r>
              <w:t>GradientBoosting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0.11389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0.01104</w:t>
            </w:r>
          </w:p>
        </w:tc>
      </w:tr>
      <w:tr>
        <w:tc>
          <w:tcPr>
            <w:tcW w:type="dxa" w:w="3286"/>
            <w:vAlign w:val="center"/>
          </w:tcPr>
          <w:p>
            <w:r>
              <w:t>CatBoost</w:t>
            </w:r>
          </w:p>
        </w:tc>
        <w:tc>
          <w:tcPr>
            <w:tcW w:type="dxa" w:w="3286"/>
            <w:vAlign w:val="center"/>
          </w:tcPr>
          <w:p>
            <w:r>
              <w:t>0.11558</w:t>
            </w:r>
          </w:p>
        </w:tc>
        <w:tc>
          <w:tcPr>
            <w:tcW w:type="dxa" w:w="3286"/>
            <w:vAlign w:val="center"/>
          </w:tcPr>
          <w:p>
            <w:r>
              <w:t>0.00704</w:t>
            </w:r>
          </w:p>
        </w:tc>
      </w:tr>
      <w:tr>
        <w:tc>
          <w:tcPr>
            <w:tcW w:type="dxa" w:w="3286"/>
            <w:vAlign w:val="center"/>
            <w:shd w:fill="F2F4F5"/>
          </w:tcPr>
          <w:p>
            <w:r>
              <w:t>XGBoost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0.11613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0.00668</w:t>
            </w:r>
          </w:p>
        </w:tc>
      </w:tr>
      <w:tr>
        <w:tc>
          <w:tcPr>
            <w:tcW w:type="dxa" w:w="3286"/>
            <w:vAlign w:val="center"/>
          </w:tcPr>
          <w:p>
            <w:r>
              <w:t>LightGBM</w:t>
            </w:r>
          </w:p>
        </w:tc>
        <w:tc>
          <w:tcPr>
            <w:tcW w:type="dxa" w:w="3286"/>
            <w:vAlign w:val="center"/>
          </w:tcPr>
          <w:p>
            <w:r>
              <w:t>0.12128</w:t>
            </w:r>
          </w:p>
        </w:tc>
        <w:tc>
          <w:tcPr>
            <w:tcW w:type="dxa" w:w="3286"/>
            <w:vAlign w:val="center"/>
          </w:tcPr>
          <w:p>
            <w:r>
              <w:t>0.00798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3599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aseline_model_screen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59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十类基线模型的五折 OOF 比较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00477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el_selection_pa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04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从最佳单模到 V3 稳健融合的验证改进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EAF2F6"/>
          </w:tcPr>
          <w:p>
            <w:r>
              <w:rPr>
                <w:b/>
                <w:color w:val="2F6B8A"/>
              </w:rPr>
              <w:t xml:space="preserve">独立判断  </w:t>
            </w:r>
            <w:r>
              <w:t>V3 没有继续增加树模型。V2 的树模型残差相关系数超过 0.92，再堆同类模型通常只会让本地分数更好看。重新调参后的 RBF-SVR 虽不是最强单模，但与 XGBoost 的残差相关性约为 0.853，提供了更有价值的差异。</w:t>
            </w:r>
          </w:p>
        </w:tc>
      </w:tr>
    </w:tbl>
    <w:p>
      <w:r>
        <w:br w:type="page"/>
      </w:r>
    </w:p>
    <w:p>
      <w:pPr>
        <w:pStyle w:val="Heading1"/>
      </w:pPr>
      <w:r>
        <w:t>4. 最终四模型，用大白话解释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模型</w:t>
            </w:r>
          </w:p>
        </w:tc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直观理解</w:t>
            </w:r>
          </w:p>
        </w:tc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主要贡献</w:t>
            </w:r>
          </w:p>
        </w:tc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主要局限</w:t>
            </w:r>
          </w:p>
        </w:tc>
      </w:tr>
      <w:tr>
        <w:tc>
          <w:tcPr>
            <w:tcW w:type="dxa" w:w="2464"/>
            <w:vAlign w:val="center"/>
          </w:tcPr>
          <w:p>
            <w:r>
              <w:t>Elastic Net</w:t>
            </w:r>
          </w:p>
        </w:tc>
        <w:tc>
          <w:tcPr>
            <w:tcW w:type="dxa" w:w="2464"/>
            <w:vAlign w:val="center"/>
          </w:tcPr>
          <w:p>
            <w:r>
              <w:t>给各项条件估算稳定的加减价</w:t>
            </w:r>
          </w:p>
        </w:tc>
        <w:tc>
          <w:tcPr>
            <w:tcW w:type="dxa" w:w="2464"/>
            <w:vAlign w:val="center"/>
          </w:tcPr>
          <w:p>
            <w:r>
              <w:t>稀疏高维、整体线性关系</w:t>
            </w:r>
          </w:p>
        </w:tc>
        <w:tc>
          <w:tcPr>
            <w:tcW w:type="dxa" w:w="2464"/>
            <w:vAlign w:val="center"/>
          </w:tcPr>
          <w:p>
            <w:r>
              <w:t>难表达复杂门槛</w:t>
            </w:r>
          </w:p>
        </w:tc>
      </w:tr>
      <w:tr>
        <w:tc>
          <w:tcPr>
            <w:tcW w:type="dxa" w:w="2464"/>
            <w:vAlign w:val="center"/>
            <w:shd w:fill="F2F4F5"/>
          </w:tcPr>
          <w:p>
            <w:r>
              <w:t>Gradient Boosting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后一棵树专门修正前一轮错误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非线性、异常值稳健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与其他树模型易同质</w:t>
            </w:r>
          </w:p>
        </w:tc>
      </w:tr>
      <w:tr>
        <w:tc>
          <w:tcPr>
            <w:tcW w:type="dxa" w:w="2464"/>
            <w:vAlign w:val="center"/>
          </w:tcPr>
          <w:p>
            <w:r>
              <w:t>XGBoost</w:t>
            </w:r>
          </w:p>
        </w:tc>
        <w:tc>
          <w:tcPr>
            <w:tcW w:type="dxa" w:w="2464"/>
            <w:vAlign w:val="center"/>
          </w:tcPr>
          <w:p>
            <w:r>
              <w:t>带复杂度约束的高效提升树</w:t>
            </w:r>
          </w:p>
        </w:tc>
        <w:tc>
          <w:tcPr>
            <w:tcW w:type="dxa" w:w="2464"/>
            <w:vAlign w:val="center"/>
          </w:tcPr>
          <w:p>
            <w:r>
              <w:t>交互、稀疏特征</w:t>
            </w:r>
          </w:p>
        </w:tc>
        <w:tc>
          <w:tcPr>
            <w:tcW w:type="dxa" w:w="2464"/>
            <w:vAlign w:val="center"/>
          </w:tcPr>
          <w:p>
            <w:r>
              <w:t>参数多、可能过拟合</w:t>
            </w:r>
          </w:p>
        </w:tc>
      </w:tr>
      <w:tr>
        <w:tc>
          <w:tcPr>
            <w:tcW w:type="dxa" w:w="2464"/>
            <w:vAlign w:val="center"/>
            <w:shd w:fill="F2F4F5"/>
          </w:tcPr>
          <w:p>
            <w:r>
              <w:t>RBF-SVR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让特征相似的房屋得到相近估价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平滑非线性边界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对缩放和参数敏感</w:t>
            </w:r>
          </w:p>
        </w:tc>
      </w:tr>
    </w:tbl>
    <w:p/>
    <w:p>
      <w:r>
        <w:t>融合不是让四个模型投票选冠军，而是把它们的 OOF 预测作为新的证据。每套训练房屋都由没有见过它的模型预测，再根据这些预测估计组合权重。</w:t>
      </w:r>
    </w:p>
    <w:p>
      <w:pPr>
        <w:pStyle w:val="Heading1"/>
      </w:pPr>
      <w:r>
        <w:t>5. 权重与校准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模型</w:t>
            </w:r>
          </w:p>
        </w:tc>
        <w:tc>
          <w:tcPr>
            <w:tcW w:type="dxa" w:w="3286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最终权重</w:t>
            </w:r>
          </w:p>
        </w:tc>
        <w:tc>
          <w:tcPr>
            <w:tcW w:type="dxa" w:w="3286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权重含义</w:t>
            </w:r>
          </w:p>
        </w:tc>
      </w:tr>
      <w:tr>
        <w:tc>
          <w:tcPr>
            <w:tcW w:type="dxa" w:w="3286"/>
            <w:vAlign w:val="center"/>
          </w:tcPr>
          <w:p>
            <w:r>
              <w:t>Elastic Net</w:t>
            </w:r>
          </w:p>
        </w:tc>
        <w:tc>
          <w:tcPr>
            <w:tcW w:type="dxa" w:w="3286"/>
            <w:vAlign w:val="center"/>
          </w:tcPr>
          <w:p>
            <w:r>
              <w:t>25.9%</w:t>
            </w:r>
          </w:p>
        </w:tc>
        <w:tc>
          <w:tcPr>
            <w:tcW w:type="dxa" w:w="3286"/>
            <w:vAlign w:val="center"/>
          </w:tcPr>
          <w:p>
            <w:r>
              <w:t>稳定线性基准</w:t>
            </w:r>
          </w:p>
        </w:tc>
      </w:tr>
      <w:tr>
        <w:tc>
          <w:tcPr>
            <w:tcW w:type="dxa" w:w="3286"/>
            <w:vAlign w:val="center"/>
            <w:shd w:fill="F2F4F5"/>
          </w:tcPr>
          <w:p>
            <w:r>
              <w:t>Gradient Boosting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23.4%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稳健非线性纠错</w:t>
            </w:r>
          </w:p>
        </w:tc>
      </w:tr>
      <w:tr>
        <w:tc>
          <w:tcPr>
            <w:tcW w:type="dxa" w:w="3286"/>
            <w:vAlign w:val="center"/>
          </w:tcPr>
          <w:p>
            <w:r>
              <w:t>XGBoost</w:t>
            </w:r>
          </w:p>
        </w:tc>
        <w:tc>
          <w:tcPr>
            <w:tcW w:type="dxa" w:w="3286"/>
            <w:vAlign w:val="center"/>
          </w:tcPr>
          <w:p>
            <w:r>
              <w:t>24.3%</w:t>
            </w:r>
          </w:p>
        </w:tc>
        <w:tc>
          <w:tcPr>
            <w:tcW w:type="dxa" w:w="3286"/>
            <w:vAlign w:val="center"/>
          </w:tcPr>
          <w:p>
            <w:r>
              <w:t>复杂交互与分裂</w:t>
            </w:r>
          </w:p>
        </w:tc>
      </w:tr>
      <w:tr>
        <w:tc>
          <w:tcPr>
            <w:tcW w:type="dxa" w:w="3286"/>
            <w:vAlign w:val="center"/>
            <w:shd w:fill="F2F4F5"/>
          </w:tcPr>
          <w:p>
            <w:r>
              <w:t>RBF-SVR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26.5%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平滑核方法补充</w:t>
            </w:r>
          </w:p>
        </w:tc>
      </w:tr>
    </w:tbl>
    <w:p/>
    <w:p>
      <w:r>
        <w:t>权重要求非负、总和为 1，并加入 0.01 的 L2 惩罚，防止某个随机折把权重推向单一模型。8 组目标分层元交叉验证用于评估权重稳定性，最终使用 40 组折内权重的平均值。</w:t>
      </w:r>
    </w:p>
    <w:p>
      <w:r>
        <w:t>融合后校准斜率为 1.0157，仅把预测范围拉开约 1.6%。斜率被限制在 0.98 至 1.04，避免根据同一批残差做激进修正。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03750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lend_weigh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75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V3 四模型融合权重</w:t>
      </w:r>
    </w:p>
    <w:p>
      <w:pPr>
        <w:pStyle w:val="Heading1"/>
      </w:pPr>
      <w:r>
        <w:t>6. 实证结果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rPr>
          <w:tblHeader w:val="true"/>
        </w:trPr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版本</w:t>
            </w:r>
          </w:p>
        </w:tc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稳健本地 RMSE</w:t>
            </w:r>
          </w:p>
        </w:tc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Public Score</w:t>
            </w:r>
          </w:p>
        </w:tc>
        <w:tc>
          <w:tcPr>
            <w:tcW w:type="dxa" w:w="2464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排名快照</w:t>
            </w:r>
          </w:p>
        </w:tc>
      </w:tr>
      <w:tr>
        <w:tc>
          <w:tcPr>
            <w:tcW w:type="dxa" w:w="2464"/>
            <w:vAlign w:val="center"/>
          </w:tcPr>
          <w:p>
            <w:r>
              <w:t>V2</w:t>
            </w:r>
          </w:p>
        </w:tc>
        <w:tc>
          <w:tcPr>
            <w:tcW w:type="dxa" w:w="2464"/>
            <w:vAlign w:val="center"/>
          </w:tcPr>
          <w:p>
            <w:r>
              <w:t>0.10587</w:t>
            </w:r>
          </w:p>
        </w:tc>
        <w:tc>
          <w:tcPr>
            <w:tcW w:type="dxa" w:w="2464"/>
            <w:vAlign w:val="center"/>
          </w:tcPr>
          <w:p>
            <w:r>
              <w:t>0.12205</w:t>
            </w:r>
          </w:p>
        </w:tc>
        <w:tc>
          <w:tcPr>
            <w:tcW w:type="dxa" w:w="2464"/>
            <w:vAlign w:val="center"/>
          </w:tcPr>
          <w:p>
            <w:r>
              <w:t>493 / 3,454</w:t>
            </w:r>
          </w:p>
        </w:tc>
      </w:tr>
      <w:tr>
        <w:tc>
          <w:tcPr>
            <w:tcW w:type="dxa" w:w="2464"/>
            <w:vAlign w:val="center"/>
            <w:shd w:fill="F2F4F5"/>
          </w:tcPr>
          <w:p>
            <w:r>
              <w:t>V3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0.10483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0.12163</w:t>
            </w:r>
          </w:p>
        </w:tc>
        <w:tc>
          <w:tcPr>
            <w:tcW w:type="dxa" w:w="2464"/>
            <w:vAlign w:val="center"/>
            <w:shd w:fill="F2F4F5"/>
          </w:tcPr>
          <w:p>
            <w:r>
              <w:t>430 / 3,454</w:t>
            </w:r>
          </w:p>
        </w:tc>
      </w:tr>
    </w:tbl>
    <w:p/>
    <w:p>
      <w:r>
        <w:t>V3 预测中位数约 156,841 美元，最小值约 46,061 美元，最大值约 847,620 美元。提交文件共有 1,459 行，列名严格为 Id 和 SalePrice，Id 顺序与官方样例一致，没有缺失、重复或非正价格。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0354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ediction_distribu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035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训练价格与测试预测价格分布</w:t>
      </w:r>
    </w:p>
    <w:p>
      <w:pPr>
        <w:pStyle w:val="Heading1"/>
      </w:pPr>
      <w:r>
        <w:t>7. 误差诊断</w:t>
      </w:r>
    </w:p>
    <w:p>
      <w:pPr>
        <w:pStyle w:val="Heading2"/>
      </w:pPr>
      <w:r>
        <w:t>7.1 价格两端仍然最难</w:t>
      </w:r>
    </w:p>
    <w:p>
      <w:r>
        <w:t>最低价格十分位的 OOF RMSE 为 0.19518，平均残差为 -0.07525；最高价格十分位的 OOF RMSE 为 0.10717，平均残差为 0.03708。负残差表示低价房仍被高估，正残差表示高价房仍被低估。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21117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esidual_by_price_dec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111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按实际价格十分位分组的 OOF 误差与偏差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475606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oof_actual_vs_predicte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7560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  OOF 预测与实际对数价格</w:t>
      </w:r>
    </w:p>
    <w:p>
      <w:pPr>
        <w:pStyle w:val="Heading2"/>
      </w:pPr>
      <w:r>
        <w:t>7.2 本地验证仍偏乐观</w:t>
      </w:r>
    </w:p>
    <w:p>
      <w:r>
        <w:t>V3 本地稳健 RMSE 为 0.10483，Public Score 为 0.12163，差距为 0.01680。对抗验证平均 AUC 约 0.516，接近随机判断，因此没有证据支持强烈的整体训练/测试分布漂移。</w:t>
      </w:r>
    </w:p>
    <w:p>
      <w:pPr>
        <w:pStyle w:val="ListBullet"/>
      </w:pPr>
      <w:r>
        <w:t>训练样本不足 1,500 个，价格两端样本更少。</w:t>
      </w:r>
    </w:p>
    <w:p>
      <w:pPr>
        <w:pStyle w:val="ListBullet"/>
      </w:pPr>
      <w:r>
        <w:t>多轮特征和参数实验反复使用同一训练集，产生模型选择偏差。</w:t>
      </w:r>
    </w:p>
    <w:p>
      <w:pPr>
        <w:pStyle w:val="ListBullet"/>
      </w:pPr>
      <w:r>
        <w:t>最终四个成员的残差仍然较高相关，真正的模型多样性有限。</w:t>
      </w:r>
    </w:p>
    <w:p>
      <w:pPr>
        <w:pStyle w:val="ListBullet"/>
      </w:pPr>
      <w:r>
        <w:t>权重和校准来自同一批 OOF 样本，不能替代完全独立的测试集。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97880" cy="348432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validation_ga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4843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稳健本地验证与 Kaggle Public Score 的差距</w:t>
      </w:r>
    </w:p>
    <w:p>
      <w:pPr>
        <w:pStyle w:val="Heading1"/>
      </w:pPr>
      <w:r>
        <w:t>8. 为什么没有把 0.06 当作完成标准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shd w:fill="F8EDE8"/>
          </w:tcPr>
          <w:p>
            <w:r>
              <w:rPr>
                <w:b/>
                <w:color w:val="2F6B8A"/>
              </w:rPr>
              <w:t xml:space="preserve">边界说明  </w:t>
            </w:r>
            <w:r>
              <w:t>隐藏测试标签使任何具体 Kaggle 分数都无法在提交前保证。公开榜单中还存在外部标签、公开泄漏或直接重建测试答案的极低分提交，它们不能代表正常机器学习泛化能力。</w:t>
            </w:r>
          </w:p>
        </w:tc>
      </w:tr>
    </w:tbl>
    <w:p>
      <w:r>
        <w:t>为了让作品经得起复现和面试追问，本项目没有使用外部成交价，也没有逐行修改测试答案。0.12163 不是接近完美，但它是一条可以解释、可以复现、没有依赖测试标签的结果。</w:t>
      </w:r>
    </w:p>
    <w:p>
      <w:r>
        <w:br w:type="page"/>
      </w:r>
    </w:p>
    <w:p>
      <w:pPr>
        <w:pStyle w:val="Heading1"/>
      </w:pPr>
      <w:r>
        <w:t>9. 质量检查与复现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type="dxa" w:w="3286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检查项</w:t>
            </w:r>
          </w:p>
        </w:tc>
        <w:tc>
          <w:tcPr>
            <w:tcW w:type="dxa" w:w="3286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结果</w:t>
            </w:r>
          </w:p>
        </w:tc>
        <w:tc>
          <w:tcPr>
            <w:tcW w:type="dxa" w:w="3286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证据</w:t>
            </w:r>
          </w:p>
        </w:tc>
      </w:tr>
      <w:tr>
        <w:tc>
          <w:tcPr>
            <w:tcW w:type="dxa" w:w="3286"/>
            <w:vAlign w:val="center"/>
          </w:tcPr>
          <w:p>
            <w:r>
              <w:t>提交结构</w:t>
            </w:r>
          </w:p>
        </w:tc>
        <w:tc>
          <w:tcPr>
            <w:tcW w:type="dxa" w:w="3286"/>
            <w:vAlign w:val="center"/>
          </w:tcPr>
          <w:p>
            <w:r>
              <w:t>通过</w:t>
            </w:r>
          </w:p>
        </w:tc>
        <w:tc>
          <w:tcPr>
            <w:tcW w:type="dxa" w:w="3286"/>
            <w:vAlign w:val="center"/>
          </w:tcPr>
          <w:p>
            <w:r>
              <w:t>1,459 行；Id、SalePrice 两列</w:t>
            </w:r>
          </w:p>
        </w:tc>
      </w:tr>
      <w:tr>
        <w:tc>
          <w:tcPr>
            <w:tcW w:type="dxa" w:w="3286"/>
            <w:vAlign w:val="center"/>
            <w:shd w:fill="F2F4F5"/>
          </w:tcPr>
          <w:p>
            <w:r>
              <w:t>数值有效性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通过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无 NaN/Inf，价格全部大于 0</w:t>
            </w:r>
          </w:p>
        </w:tc>
      </w:tr>
      <w:tr>
        <w:tc>
          <w:tcPr>
            <w:tcW w:type="dxa" w:w="3286"/>
            <w:vAlign w:val="center"/>
          </w:tcPr>
          <w:p>
            <w:r>
              <w:t>Id 一致性</w:t>
            </w:r>
          </w:p>
        </w:tc>
        <w:tc>
          <w:tcPr>
            <w:tcW w:type="dxa" w:w="3286"/>
            <w:vAlign w:val="center"/>
          </w:tcPr>
          <w:p>
            <w:r>
              <w:t>通过</w:t>
            </w:r>
          </w:p>
        </w:tc>
        <w:tc>
          <w:tcPr>
            <w:tcW w:type="dxa" w:w="3286"/>
            <w:vAlign w:val="center"/>
          </w:tcPr>
          <w:p>
            <w:r>
              <w:t>唯一、递增、与样例顺序一致</w:t>
            </w:r>
          </w:p>
        </w:tc>
      </w:tr>
      <w:tr>
        <w:tc>
          <w:tcPr>
            <w:tcW w:type="dxa" w:w="3286"/>
            <w:vAlign w:val="center"/>
            <w:shd w:fill="F2F4F5"/>
          </w:tcPr>
          <w:p>
            <w:r>
              <w:t>完整重训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PASS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最大 log 差 3.14e-07</w:t>
            </w:r>
          </w:p>
        </w:tc>
      </w:tr>
      <w:tr>
        <w:tc>
          <w:tcPr>
            <w:tcW w:type="dxa" w:w="3286"/>
            <w:vAlign w:val="center"/>
          </w:tcPr>
          <w:p>
            <w:r>
              <w:t>图表</w:t>
            </w:r>
          </w:p>
        </w:tc>
        <w:tc>
          <w:tcPr>
            <w:tcW w:type="dxa" w:w="3286"/>
            <w:vAlign w:val="center"/>
          </w:tcPr>
          <w:p>
            <w:r>
              <w:t>通过</w:t>
            </w:r>
          </w:p>
        </w:tc>
        <w:tc>
          <w:tcPr>
            <w:tcW w:type="dxa" w:w="3286"/>
            <w:vAlign w:val="center"/>
          </w:tcPr>
          <w:p>
            <w:r>
              <w:t>10 张图均完成像素与尺寸检查</w:t>
            </w:r>
          </w:p>
        </w:tc>
      </w:tr>
      <w:tr>
        <w:tc>
          <w:tcPr>
            <w:tcW w:type="dxa" w:w="3286"/>
            <w:vAlign w:val="center"/>
            <w:shd w:fill="F2F4F5"/>
          </w:tcPr>
          <w:p>
            <w:r>
              <w:t>Notebook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通过</w:t>
            </w:r>
          </w:p>
        </w:tc>
        <w:tc>
          <w:tcPr>
            <w:tcW w:type="dxa" w:w="3286"/>
            <w:vAlign w:val="center"/>
            <w:shd w:fill="F2F4F5"/>
          </w:tcPr>
          <w:p>
            <w:r>
              <w:t>5 个代码单元全部执行，无错误输出</w:t>
            </w:r>
          </w:p>
        </w:tc>
      </w:tr>
    </w:tbl>
    <w:p/>
    <w:p>
      <w:r>
        <w:t>完整重训与已提交 V3 的最大价格差约 0.15 美元，最大对数差为 3.14e-07。该差异来自 XGBoost 多线程浮点计算，不影响 Kaggle 五位小数分数。</w:t>
      </w:r>
    </w:p>
    <w:p>
      <w:pPr>
        <w:pStyle w:val="Heading1"/>
      </w:pPr>
      <w:r>
        <w:t>10. 下一步改进</w:t>
      </w:r>
    </w:p>
    <w:p>
      <w:pPr>
        <w:pStyle w:val="ListBullet"/>
      </w:pPr>
      <w:r>
        <w:t>预留一块从未参与特征和参数选择的验证集，或使用嵌套交叉验证。</w:t>
      </w:r>
    </w:p>
    <w:p>
      <w:pPr>
        <w:pStyle w:val="ListBullet"/>
      </w:pPr>
      <w:r>
        <w:t>针对低价和高价房设计分层模型或分位数辅助目标，并放入外层验证检验。</w:t>
      </w:r>
    </w:p>
    <w:p>
      <w:pPr>
        <w:pStyle w:val="ListBullet"/>
      </w:pPr>
      <w:r>
        <w:t>使用重复目标分层折重训所有基础模型，比较切分策略的公共榜单稳定性。</w:t>
      </w:r>
    </w:p>
    <w:p>
      <w:pPr>
        <w:pStyle w:val="ListBullet"/>
      </w:pPr>
      <w:r>
        <w:t>研究社区×房龄、质量×面积等分层交互，同时控制高基数类别方差。</w:t>
      </w:r>
    </w:p>
    <w:p>
      <w:pPr>
        <w:pStyle w:val="ListBullet"/>
      </w:pPr>
      <w:r>
        <w:t>通过 bootstrap 给融合权重报告稳定区间，而不只报告一个点估计。</w:t>
      </w:r>
    </w:p>
    <w:p>
      <w:pPr>
        <w:pStyle w:val="Heading1"/>
      </w:pPr>
      <w:r>
        <w:t>结论</w:t>
      </w:r>
    </w:p>
    <w:p>
      <w:r>
        <w:t>项目完成了从数据理解、可复现预处理、模型筛选、融合、误差诊断到 Kaggle 提交的闭环。V3 比 V2 有小幅真实提升，排名快照进入前 12.45%。更重要的结论是：后续最需要加强的并不是继续增加模型数量，而是建立更独立的验证层、降低选择偏差，并专门处理价格两端的系统性误差。</w:t>
      </w:r>
    </w:p>
    <w:p>
      <w:r>
        <w:br w:type="page"/>
      </w:r>
    </w:p>
    <w:p>
      <w:pPr>
        <w:pStyle w:val="Heading1"/>
      </w:pPr>
      <w:r>
        <w:t>附录：文件与证据索引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 w:val="true"/>
        </w:trPr>
        <w:tc>
          <w:tcPr>
            <w:tcW w:type="dxa" w:w="4929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内容</w:t>
            </w:r>
          </w:p>
        </w:tc>
        <w:tc>
          <w:tcPr>
            <w:tcW w:type="dxa" w:w="4929"/>
            <w:shd w:fill="2F6B8A"/>
          </w:tcPr>
          <w:p>
            <w:pPr>
              <w:jc w:val="center"/>
            </w:pPr>
            <w:r>
              <w:rPr>
                <w:b/>
                <w:color w:val="FFFFFF"/>
              </w:rPr>
              <w:t>位置</w:t>
            </w:r>
          </w:p>
        </w:tc>
      </w:tr>
      <w:tr>
        <w:tc>
          <w:tcPr>
            <w:tcW w:type="dxa" w:w="4929"/>
            <w:vAlign w:val="center"/>
          </w:tcPr>
          <w:p>
            <w:r>
              <w:t>最终训练入口</w:t>
            </w:r>
          </w:p>
        </w:tc>
        <w:tc>
          <w:tcPr>
            <w:tcW w:type="dxa" w:w="4929"/>
            <w:vAlign w:val="center"/>
          </w:tcPr>
          <w:p>
            <w:r>
              <w:t>src/train_and_predict.py</w:t>
            </w:r>
          </w:p>
        </w:tc>
      </w:tr>
      <w:tr>
        <w:tc>
          <w:tcPr>
            <w:tcW w:type="dxa" w:w="4929"/>
            <w:vAlign w:val="center"/>
            <w:shd w:fill="F2F4F5"/>
          </w:tcPr>
          <w:p>
            <w:r>
              <w:t>数据处理与公共函数</w:t>
            </w:r>
          </w:p>
        </w:tc>
        <w:tc>
          <w:tcPr>
            <w:tcW w:type="dxa" w:w="4929"/>
            <w:vAlign w:val="center"/>
            <w:shd w:fill="F2F4F5"/>
          </w:tcPr>
          <w:p>
            <w:r>
              <w:t>src/house_prices_core.py</w:t>
            </w:r>
          </w:p>
        </w:tc>
      </w:tr>
      <w:tr>
        <w:tc>
          <w:tcPr>
            <w:tcW w:type="dxa" w:w="4929"/>
            <w:vAlign w:val="center"/>
          </w:tcPr>
          <w:p>
            <w:r>
              <w:t>结果复核 Notebook</w:t>
            </w:r>
          </w:p>
        </w:tc>
        <w:tc>
          <w:tcPr>
            <w:tcW w:type="dxa" w:w="4929"/>
            <w:vAlign w:val="center"/>
          </w:tcPr>
          <w:p>
            <w:r>
              <w:t>notebooks/final_results_walkthrough.ipynb</w:t>
            </w:r>
          </w:p>
        </w:tc>
      </w:tr>
      <w:tr>
        <w:tc>
          <w:tcPr>
            <w:tcW w:type="dxa" w:w="4929"/>
            <w:vAlign w:val="center"/>
            <w:shd w:fill="F2F4F5"/>
          </w:tcPr>
          <w:p>
            <w:r>
              <w:t>最终提交</w:t>
            </w:r>
          </w:p>
        </w:tc>
        <w:tc>
          <w:tcPr>
            <w:tcW w:type="dxa" w:w="4929"/>
            <w:vAlign w:val="center"/>
            <w:shd w:fill="F2F4F5"/>
          </w:tcPr>
          <w:p>
            <w:r>
              <w:t>results/submission_v3.csv</w:t>
            </w:r>
          </w:p>
        </w:tc>
      </w:tr>
      <w:tr>
        <w:tc>
          <w:tcPr>
            <w:tcW w:type="dxa" w:w="4929"/>
            <w:vAlign w:val="center"/>
          </w:tcPr>
          <w:p>
            <w:r>
              <w:t>Kaggle 提交历史</w:t>
            </w:r>
          </w:p>
        </w:tc>
        <w:tc>
          <w:tcPr>
            <w:tcW w:type="dxa" w:w="4929"/>
            <w:vAlign w:val="center"/>
          </w:tcPr>
          <w:p>
            <w:r>
              <w:t>results/kaggle_submission_history.csv</w:t>
            </w:r>
          </w:p>
        </w:tc>
      </w:tr>
      <w:tr>
        <w:tc>
          <w:tcPr>
            <w:tcW w:type="dxa" w:w="4929"/>
            <w:vAlign w:val="center"/>
            <w:shd w:fill="F2F4F5"/>
          </w:tcPr>
          <w:p>
            <w:r>
              <w:t>排名快照</w:t>
            </w:r>
          </w:p>
        </w:tc>
        <w:tc>
          <w:tcPr>
            <w:tcW w:type="dxa" w:w="4929"/>
            <w:vAlign w:val="center"/>
            <w:shd w:fill="F2F4F5"/>
          </w:tcPr>
          <w:p>
            <w:r>
              <w:t>results/kaggle_rank_snapshot.csv</w:t>
            </w:r>
          </w:p>
        </w:tc>
      </w:tr>
      <w:tr>
        <w:tc>
          <w:tcPr>
            <w:tcW w:type="dxa" w:w="4929"/>
            <w:vAlign w:val="center"/>
          </w:tcPr>
          <w:p>
            <w:r>
              <w:t>完整重训检查</w:t>
            </w:r>
          </w:p>
        </w:tc>
        <w:tc>
          <w:tcPr>
            <w:tcW w:type="dxa" w:w="4929"/>
            <w:vAlign w:val="center"/>
          </w:tcPr>
          <w:p>
            <w:r>
              <w:t>results/reproducibility_check.json</w:t>
            </w:r>
          </w:p>
        </w:tc>
      </w:tr>
    </w:tbl>
    <w:p/>
    <w:p>
      <w:r>
        <w:rPr>
          <w:b/>
        </w:rPr>
        <w:t>口径说明：</w:t>
      </w:r>
      <w:r>
        <w:t>分数越低越好；排名和参赛队数量为 2026-08-24 快照，后续可能变化。所有本地误差均在移除两条预定义面积异常样本后计算。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91" w:bottom="1020" w:left="119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17D"/>
      </w:rP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2F6B8A"/>
        <w:sz w:val="17"/>
      </w:rPr>
      <w:t>AMES HOUSE PRICE PREDICTION</w:t>
    </w:r>
    <w:r>
      <w:rPr>
        <w:color w:val="66717D"/>
      </w:rPr>
      <w:t xml:space="preserve">    技术报告 ·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B8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7D6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D07A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E2933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66717D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200"/>
    </w:pPr>
    <w:rPr>
      <w:rFonts w:ascii="Microsoft YaHei" w:hAnsi="Microsoft YaHei" w:eastAsia="Microsoft YaHei"/>
      <w:b/>
      <w:bCs/>
      <w:i w:val="0"/>
      <w:color w:val="66717D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Ames 房价预测：实证分析报告</dc:title>
  <dc:subject>Kaggle House Prices 机器学习作品集</dc:subject>
  <dc:creator>个人数据分析作品集</dc:creator>
  <cp:keywords>Kaggle, Ames Housing, Regression, Ensemble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