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完成日期：2027年5月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27"/>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25 个业务接口；性能测试中，问答端到端耗时在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（即"金标准（三模型综合）口径下的抽取表现"）is: entities F1 0.5090, events F1 0.1387, relations F1 0.0783 and time F1 0.3924 (the upper bounds under the loose-pairing criterion are 0.5391, 0.2428, 0.4269 and 0.3924 respectively); under the single-model reference-set criterion (「模型参照集口径」)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25 business interfaces.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Evidence Tracing</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28"/>
          <w:footerReference w:type="default" r:id="rId29"/>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 xml:space="preserve">需要如实说明前端验收的证据形态。接口层面，每个页面对应的后端接口都有接口级冒烟留痕：集成冒烟矩阵共 44 行，正常路径 28 条覆盖四屏全部接口，期望错误码与实测错误码逐行一致，另有 10 类 16 行异常场景。界面层面，本文在开发后期补建了基于 Playwright 的浏览器走查装置，以真实 Chromium 按七个任务（T1～T7）逐任务执行、逐步骤截屏，并逐步骤落盘可见文本快照、可聚焦元素清单与控制台／网络错误清单；同一装置在体验优化前后各完整执行一遍，形成可对照的两组读数（落点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，含方案与验收标准、发现报告、优化清单、复测对照四份，截图与每步快照见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与真机移动端——小屏适配以 390 × 844 视口模拟，不是真机——这一边界在第6章的已知限制中登记。</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1" name="Picture 11"/>
            <wp:cNvGraphicFramePr>
              <a:graphicFrameLocks noChangeAspect="1"/>
            </wp:cNvGraphicFramePr>
            <a:graphic>
              <a:graphicData uri="http://schemas.openxmlformats.org/drawingml/2006/picture">
                <pic:pic>
                  <pic:nvPicPr>
                    <pic:cNvPr id="0" name="图4-4-六张表的ER图.png"/>
                    <pic:cNvPicPr/>
                  </pic:nvPicPr>
                  <pic:blipFill>
                    <a:blip r:embed="rId19"/>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2" name="Picture 12"/>
            <wp:cNvGraphicFramePr>
              <a:graphicFrameLocks noChangeAspect="1"/>
            </wp:cNvGraphicFramePr>
            <a:graphic>
              <a:graphicData uri="http://schemas.openxmlformats.org/drawingml/2006/picture">
                <pic:pic>
                  <pic:nvPicPr>
                    <pic:cNvPr id="0" name="图4-5-向量原文三级映射链路.png"/>
                    <pic:cNvPicPr/>
                  </pic:nvPicPr>
                  <pic:blipFill>
                    <a:blip r:embed="rId20"/>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3" name="Picture 13"/>
            <wp:cNvGraphicFramePr>
              <a:graphicFrameLocks noChangeAspect="1"/>
            </wp:cNvGraphicFramePr>
            <a:graphic>
              <a:graphicData uri="http://schemas.openxmlformats.org/drawingml/2006/picture">
                <pic:pic>
                  <pic:nvPicPr>
                    <pic:cNvPr id="0" name="图4-6-知识图谱本体总览.png"/>
                    <pic:cNvPicPr/>
                  </pic:nvPicPr>
                  <pic:blipFill>
                    <a:blip r:embed="rId21"/>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18" name="Picture 18"/>
            <wp:cNvGraphicFramePr>
              <a:graphicFrameLocks noChangeAspect="1"/>
            </wp:cNvGraphicFramePr>
            <a:graphic>
              <a:graphicData uri="http://schemas.openxmlformats.org/drawingml/2006/picture">
                <pic:pic>
                  <pic:nvPicPr>
                    <pic:cNvPr id="0" name="图4-8-A-E五组配置路径.png"/>
                    <pic:cNvPicPr/>
                  </pic:nvPicPr>
                  <pic:blipFill>
                    <a:blip r:embed="rId26"/>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 xml:space="preserve">答案与证据页在四段正文之外提供三个二次使用入口：复制答案全文、复制证据清单（制表符分隔，行数等于证据条数）、复制引用信息（含来源站、发布日期与文档块编号）。三者一律从本次回答已落库的载荷取值，不做二次生成，因此复制出来的内容与页面上看到的段内引用编号一一对应。同一页面对"被限流"做了显式可见化：前端对可重试请求做一次轻量退避重试，仍被限流时在页面顶部显示限流横幅并给出建议等待秒数，各页面不再把失败静默渲染成空态。这一处是有前因的——此前的实现把限流拒绝吞成"没有这家公司／没有这段数据"，在用户测试中定位后修正，改动前后的对照读数见 </w:t>
      </w:r>
      <w:r>
        <w:rPr>
          <w:rFonts w:ascii="Consolas" w:hAnsi="Consolas" w:eastAsia="宋体" w:cs="Consolas"/>
        </w:rPr>
        <w:t>交付物/07-设计与需求/用户测试/04-复测对照与验收.md</w:t>
      </w:r>
      <w:r>
        <w:rPr>
          <w:rFonts w:ascii="Times New Roman" w:hAnsi="Times New Roman" w:eastAsia="宋体" w:cs="Times New Roman"/>
        </w:rPr>
        <w:t>。</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25 个业务接口并另增 1 个健康探针接口，覆盖上述全部页面所需能力。</w:t>
      </w:r>
    </w:p>
    <w:p>
      <w:pPr>
        <w:pStyle w:val="正文段落"/>
      </w:pPr>
      <w:r>
        <w:rPr>
          <w:rFonts w:ascii="Times New Roman" w:hAnsi="Times New Roman" w:eastAsia="宋体" w:cs="Times New Roman"/>
        </w:rPr>
        <w:t>需要如实说明前端验收的两级证据。接口级方面，集成冒烟矩阵共 44 行，其中正常路径 28 条覆盖全部页面所需接口，44 行的期望错误码与实测错误码逐行一致；另有 10 类 16 行异常场景，异常发生后服务存活判定全部正常。界面级方面，本文补建了浏览器走查装置（</w:t>
      </w:r>
      <w:r>
        <w:rPr>
          <w:rFonts w:ascii="Consolas" w:hAnsi="Consolas" w:eastAsia="宋体" w:cs="Consolas"/>
        </w:rPr>
        <w:t>交付物/03-代码/前端/测试/uat/跑UAT.mjs</w:t>
      </w:r>
      <w:r>
        <w:rPr>
          <w:rFonts w:ascii="Times New Roman" w:hAnsi="Times New Roman" w:eastAsia="宋体" w:cs="Times New Roman"/>
        </w:rPr>
        <w:t xml:space="preserve">，Playwright ＋ Chromium，1440 × 900，zh-CN／Asia-Shanghai）：按七个任务逐任务执行并逐步骤截屏——T1 新访客首屏、T2 提问主链路、T3 答案可追溯性、T4 图谱浏览、T5 键盘无障碍、T6 小屏适配、T7 答案可读性——每一步同时落盘可见文本快照、可聚焦元素清单与浏览器控制台／网络错误；装置自身的判据缺陷（提交按钮选择器命中了只做滚动的"开始提问"、答案到达判据误命中提问框占位文案、跨任务的浏览器上下文不一致导致会话标识不同）在首轮即被定位并修正后重跑，修正前后各留痕迹。同一装置在体验优化前后各完整执行一遍，两轮按同一判据统计，改动前后的完整读数与截图证据落 </w:t>
      </w:r>
      <w:r>
        <w:rPr>
          <w:rFonts w:ascii="Consolas" w:hAnsi="Consolas" w:eastAsia="宋体" w:cs="Consolas"/>
        </w:rPr>
        <w:t>交付物/07-设计与需求/用户测试/04-复测对照与验收.md</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与真机移动端，小屏适配为 390 × 844 视口模拟而非真机，这一边界在第6章的已知限制中登记。</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以及后端业务接口的成功路径、统一错误信封与边界输入。测试共 </w:t>
      </w:r>
      <w:r>
        <w:rPr>
          <w:rFonts w:ascii="Times New Roman" w:hAnsi="Times New Roman" w:eastAsia="宋体" w:cs="Times New Roman"/>
          <w:b/>
        </w:rPr>
        <w:t>289 例</w:t>
      </w:r>
      <w:r>
        <w:rPr>
          <w:rFonts w:ascii="Times New Roman" w:hAnsi="Times New Roman" w:eastAsia="宋体" w:cs="Times New Roman"/>
        </w:rPr>
        <w:t>，全部通过，失败 0、跳过 0。测试完全离线：会话级夹具装有网络审计钩子，任何网络连接、域名解析或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289 例通过；逐文件分开跑 8 次，分别为 11、15、22、15、59、46、46、75 例，合计 289 例，退出码全为 0。其中前五组（模块隔离／五步契约／检索指标／答案拼装／后端错误码）共 122 例，为先前已交付的历史读数；数据准备与抽取与图谱两组各 46 例，为按评审意见补齐的纯函数覆盖；后端接口一组 75 例，覆盖 25 个业务接口的成功路径、统一错误信封与边界输入。</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67 例</w:t>
      </w:r>
      <w:r>
        <w:rPr>
          <w:rFonts w:ascii="Times New Roman" w:hAnsi="Times New Roman" w:eastAsia="宋体" w:cs="Times New Roman"/>
        </w:rPr>
        <w:t>，全部通过。其中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的口径，本系统实际注册 </w:t>
      </w:r>
      <w:r>
        <w:rPr>
          <w:rFonts w:ascii="Times New Roman" w:hAnsi="Times New Roman" w:eastAsia="宋体" w:cs="Times New Roman"/>
          <w:b/>
        </w:rPr>
        <w:t>25 个业务接口</w:t>
      </w:r>
      <w:r>
        <w:rPr>
          <w:rFonts w:ascii="Times New Roman" w:hAnsi="Times New Roman" w:eastAsia="宋体" w:cs="Times New Roman"/>
        </w:rPr>
        <w:t xml:space="preserve">（表 4-13 的 28 行接口清单减去 3 个第一版不启用的条件性登录接口）。按模块分布为：问答 2 个、配置 1 个、证据 2 个、文档块 1 个、历史 2 个、图谱 5 个、后台 12 个（含文档增删改查、重新处理、一致性检查、抽取任务与事件查询、待消歧列表与消歧确认、受控实验入口）。除这 25 个以外，后端另注册 </w:t>
      </w:r>
      <w:r>
        <w:rPr>
          <w:rFonts w:ascii="Times New Roman" w:hAnsi="Times New Roman" w:eastAsia="宋体" w:cs="Times New Roman"/>
          <w:b/>
        </w:rPr>
        <w:t>7 个已登记的新增接口</w:t>
      </w:r>
      <w:r>
        <w:rPr>
          <w:rFonts w:ascii="Times New Roman" w:hAnsi="Times New Roman" w:eastAsia="宋体" w:cs="Times New Roman"/>
        </w:rPr>
        <w:t>：健康探针 1 个；实时数据区 4 个（属第4章登记的边界例外，是演示增强组件，只作展示、不进证据链、不计入任何指标）；图谱侧的实体详情与实体级证据 2 个。接口文档的实测口径为：25 个业务接口对应 25 个操作、</w:t>
      </w:r>
      <w:r>
        <w:rPr>
          <w:rFonts w:ascii="Times New Roman" w:hAnsi="Times New Roman" w:eastAsia="宋体" w:cs="Times New Roman"/>
          <w:b/>
        </w:rPr>
        <w:t>23 条路径</w:t>
      </w:r>
      <w:r>
        <w:rPr>
          <w:rFonts w:ascii="Times New Roman" w:hAnsi="Times New Roman" w:eastAsia="宋体" w:cs="Times New Roman"/>
        </w:rPr>
        <w:t xml:space="preserve">（其中 </w:t>
      </w:r>
      <w:r>
        <w:rPr>
          <w:rFonts w:ascii="Consolas" w:hAnsi="Consolas" w:eastAsia="宋体" w:cs="Consolas"/>
        </w:rPr>
        <w:t>/api/admin/documents</w:t>
      </w:r>
      <w:r>
        <w:rPr>
          <w:rFonts w:ascii="Times New Roman" w:hAnsi="Times New Roman" w:eastAsia="宋体" w:cs="Times New Roman"/>
        </w:rPr>
        <w:t xml:space="preserve"> 的 POST 与 GET、</w:t>
      </w:r>
      <w:r>
        <w:rPr>
          <w:rFonts w:ascii="Consolas" w:hAnsi="Consolas" w:eastAsia="宋体" w:cs="Consolas"/>
        </w:rPr>
        <w:t>/api/admin/documents/{doc_id}</w:t>
      </w:r>
      <w:r>
        <w:rPr>
          <w:rFonts w:ascii="Times New Roman" w:hAnsi="Times New Roman" w:eastAsia="宋体" w:cs="Times New Roman"/>
        </w:rPr>
        <w:t xml:space="preserve"> 的 PUT 与 DELETE 这两条路径各挂两个方法）；连同 7 个已登记的新增接口，接口文档共列出 </w:t>
      </w:r>
      <w:r>
        <w:rPr>
          <w:rFonts w:ascii="Times New Roman" w:hAnsi="Times New Roman" w:eastAsia="宋体" w:cs="Times New Roman"/>
          <w:b/>
        </w:rPr>
        <w:t>30 条路径、32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w:t>
      </w:r>
      <w:r>
        <w:rPr>
          <w:rFonts w:ascii="Times New Roman" w:hAnsi="Times New Roman" w:eastAsia="宋体" w:cs="Times New Roman"/>
          <w:b/>
        </w:rPr>
        <w:t>口径说明</w:t>
      </w:r>
      <w:r>
        <w:rPr>
          <w:rFonts w:ascii="Times New Roman" w:hAnsi="Times New Roman" w:eastAsia="宋体" w:cs="Times New Roman"/>
        </w:rPr>
        <w:t>：本节的接口数按"表 4-13 的 25 个业务接口"这一口径统计，与第 9 阶段产出文档第 4.1 节同源；该节正文把表 4-13 之外的新增只写为 1 个健康探针，其余 6 个（实时数据区 4 个、图谱侧 2 个）只登记在该产出文档的其余小节与修订记录中，故两处的"新增"条数相差 6 个，本节按代码侧接口文档实测的 7 个写。冒烟矩阵的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"C:\Users\15129\Desktop\毕业设计"</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"C:\Users\15129\Desktop\毕业设计"</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正文段落"/>
      </w:pPr>
      <w:r>
        <w:rPr>
          <w:rFonts w:ascii="Times New Roman" w:hAnsi="Times New Roman" w:eastAsia="宋体" w:cs="Times New Roman"/>
          <w:b/>
        </w:rPr>
        <w:t>一、本文完成的工作。</w:t>
      </w:r>
    </w:p>
    <w:p>
      <w:pPr>
        <w:pStyle w:val="正文段落"/>
      </w:pPr>
      <w:r>
        <w:rPr>
          <w:rFonts w:ascii="Times New Roman" w:hAnsi="Times New Roman" w:eastAsia="宋体" w:cs="Times New Roman"/>
        </w:rPr>
        <w:t>在数据与知识组织层面，本文把公告、监管机构公开信息、政策文件与财经新闻四类公开来源的文本加工为带版本号与数据截止时间的数据集（最终版本 v2.1 含 105 家公司、5018 个文本块与 5018 条 512 维向量）；以事件为核心知识单元构建事件知识图谱，事件类型固定为八类并作为抽取、标注与评测唯一的 schema，除证据关系外的八条语义关系均携带来源文档编号、来源文本块编号与置信度三项证据属性。</w:t>
      </w:r>
    </w:p>
    <w:p>
      <w:pPr>
        <w:pStyle w:val="正文段落"/>
      </w:pPr>
      <w:r>
        <w:rPr>
          <w:rFonts w:ascii="Times New Roman" w:hAnsi="Times New Roman" w:eastAsia="宋体" w:cs="Times New Roman"/>
        </w:rPr>
        <w:t>在检索方法层面，本文实现了向量检索与图谱检索相结合的混合检索方法，并把最终证据集合的形成固定为不可重排的五步契约。实现中发现并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w:t>
      </w:r>
    </w:p>
    <w:p>
      <w:pPr>
        <w:pStyle w:val="正文段落"/>
      </w:pPr>
      <w:r>
        <w:rPr>
          <w:rFonts w:ascii="Times New Roman" w:hAnsi="Times New Roman" w:eastAsia="宋体" w:cs="Times New Roman"/>
        </w:rPr>
        <w:t>在系统实现层面，本文完成了前后端分离的可运行系统（三类存储），后端注册 25 个业务接口并另增 1 个健康探针接口，前端实现提问、答案与证据、图谱查看与历史记录四类页面；系统对每一次回答保留证据文档与文本块编号，对使用了图谱扩展的回答保留图谱路径。</w:t>
      </w:r>
    </w:p>
    <w:p>
      <w:pPr>
        <w:pStyle w:val="正文段落"/>
      </w:pPr>
      <w:r>
        <w:rPr>
          <w:rFonts w:ascii="Times New Roman" w:hAnsi="Times New Roman" w:eastAsia="宋体" w:cs="Times New Roman"/>
          <w:b/>
        </w:rPr>
        <w:t>二、已经取得的结论。</w:t>
      </w:r>
    </w:p>
    <w:p>
      <w:pPr>
        <w:pStyle w:val="正文段落"/>
      </w:pPr>
      <w:r>
        <w:rPr>
          <w:rFonts w:ascii="Times New Roman" w:hAnsi="Times New Roman" w:eastAsia="宋体" w:cs="Times New Roman"/>
        </w:rPr>
        <w:t>系统测试层面已经取得可复算的读数：单元测试 289 例全部通过（其中 Python 侧 289 例——模块隔离／五步契约／检索指标／答案拼装／后端错误码五组共 122 例、数据准备与抽取与图谱两组各 46 例、后端接口一组 75 例；前端另有 67 例），问答端到端耗时在 n＝30 下均值为 14.994 秒、P95 为 37.048 秒；接口可用性在"背靠背连续 100 次"口径下成功率为 60%，失败的 40 次</w:t>
      </w:r>
      <w:r>
        <w:rPr>
          <w:rFonts w:ascii="Times New Roman" w:hAnsi="Times New Roman" w:eastAsia="宋体" w:cs="Times New Roman"/>
          <w:b/>
        </w:rPr>
        <w:t>全部是服务端限流</w:t>
      </w:r>
      <w:r>
        <w:rPr>
          <w:rFonts w:ascii="Times New Roman" w:hAnsi="Times New Roman" w:eastAsia="宋体" w:cs="Times New Roman"/>
        </w:rPr>
        <w:t>，故</w:t>
      </w:r>
      <w:r>
        <w:rPr>
          <w:rFonts w:ascii="Times New Roman" w:hAnsi="Times New Roman" w:eastAsia="宋体" w:cs="Times New Roman"/>
          <w:b/>
        </w:rPr>
        <w:t>不构成"系统可用性为 60%"的结论</w:t>
      </w:r>
      <w:r>
        <w:rPr>
          <w:rFonts w:ascii="Times New Roman" w:hAnsi="Times New Roman" w:eastAsia="宋体" w:cs="Times New Roman"/>
        </w:rPr>
        <w:t>。</w:t>
      </w:r>
    </w:p>
    <w:p>
      <w:pPr>
        <w:pStyle w:val="引文"/>
      </w:pPr>
      <w:r>
        <w:rPr>
          <w:rFonts w:ascii="Times New Roman" w:hAnsi="Times New Roman" w:eastAsia="宋体" w:cs="Times New Roman"/>
          <w:b/>
        </w:rPr>
        <w:t>（2026-10-08 登记）正式全量实验已运行完成，上两段的时点限定已到期；本节以下内容按现行读数逐条给出正式集结论。</w:t>
      </w:r>
      <w:r>
        <w:rPr>
          <w:rFonts w:ascii="Times New Roman" w:hAnsi="Times New Roman" w:eastAsia="宋体" w:cs="Times New Roman"/>
        </w:rPr>
        <w:t xml:space="preserve"> 上两段中"实测 30 题中进入数为 0"等句是</w:t>
      </w:r>
      <w:r>
        <w:rPr>
          <w:rFonts w:ascii="Times New Roman" w:hAnsi="Times New Roman" w:eastAsia="宋体" w:cs="Times New Roman"/>
          <w:b/>
        </w:rPr>
        <w:t>该段的成文时点留痕</w:t>
      </w:r>
      <w:r>
        <w:rPr>
          <w:rFonts w:ascii="Times New Roman" w:hAnsi="Times New Roman" w:eastAsia="宋体" w:cs="Times New Roman"/>
        </w:rPr>
        <w:t>，按项目惯例</w:t>
      </w:r>
      <w:r>
        <w:rPr>
          <w:rFonts w:ascii="Times New Roman" w:hAnsi="Times New Roman" w:eastAsia="宋体" w:cs="Times New Roman"/>
          <w:b/>
        </w:rPr>
        <w:t>原样保留</w:t>
      </w:r>
      <w:r>
        <w:rPr>
          <w:rFonts w:ascii="Times New Roman" w:hAnsi="Times New Roman" w:eastAsia="宋体" w:cs="Times New Roman"/>
        </w:rPr>
        <w:t xml:space="preserve">；其现行状态以本登记为准：正式全量实验（120 题 × 6 组）已跑完，有效题数为 </w:t>
      </w:r>
      <w:r>
        <w:rPr>
          <w:rFonts w:ascii="Times New Roman" w:hAnsi="Times New Roman" w:eastAsia="宋体" w:cs="Times New Roman"/>
          <w:b/>
        </w:rPr>
        <w:t>A 113／B 118／C 117／D 117／E 117／Baseline 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 xml:space="preserve">，读数落点为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）。本节此后凡引用正式集读数，一律以该落点为准；凡引用 30 题预实验集读数，一律写明落点为 </w:t>
      </w:r>
      <w:r>
        <w:rPr>
          <w:rFonts w:ascii="Consolas" w:hAnsi="Consolas" w:eastAsia="宋体" w:cs="Consolas"/>
        </w:rPr>
        <w:t>交付物/06-实验与评测\对照产出_v13\A_vs_C_对照报告.md</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w:t>
      </w:r>
    </w:p>
    <w:p>
      <w:pPr>
        <w:pStyle w:val="正文段落"/>
      </w:pPr>
      <w:r>
        <w:rPr>
          <w:rFonts w:ascii="Times New Roman" w:hAnsi="Times New Roman" w:eastAsia="宋体" w:cs="Times New Roman"/>
          <w:b/>
        </w:rPr>
        <w:t>（一）正式全量实验已经完成。</w:t>
      </w:r>
      <w:r>
        <w:rPr>
          <w:rFonts w:ascii="Times New Roman" w:hAnsi="Times New Roman" w:eastAsia="宋体" w:cs="Times New Roman"/>
        </w:rPr>
        <w:t xml:space="preserve"> 正式测试集为 120 题（核心测试集 108 题＋压力子集 12 题，压力子集单独报告、绝不并入核心集的总体平均）；六组各留下一批</w:t>
      </w:r>
      <w:r>
        <w:rPr>
          <w:rFonts w:ascii="Times New Roman" w:hAnsi="Times New Roman" w:eastAsia="宋体" w:cs="Times New Roman"/>
          <w:b/>
        </w:rPr>
        <w:t>未通过答案侧冻结门禁</w:t>
      </w:r>
      <w:r>
        <w:rPr>
          <w:rFonts w:ascii="Times New Roman" w:hAnsi="Times New Roman" w:eastAsia="宋体" w:cs="Times New Roman"/>
        </w:rPr>
        <w:t xml:space="preserve">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），按未通过处理、不计入任何指标，本节分母因此都是"有效题数"。未通过</w:t>
      </w:r>
      <w:r>
        <w:rPr>
          <w:rFonts w:ascii="Times New Roman" w:hAnsi="Times New Roman" w:eastAsia="宋体" w:cs="Times New Roman"/>
          <w:b/>
        </w:rPr>
        <w:t>不等于</w:t>
      </w:r>
      <w:r>
        <w:rPr>
          <w:rFonts w:ascii="Times New Roman" w:hAnsi="Times New Roman" w:eastAsia="宋体" w:cs="Times New Roman"/>
        </w:rPr>
        <w:t>该题的检索失败——它是答案侧的冻结门禁结果，与检索侧指标不得互相换算、也不得相加。</w:t>
      </w:r>
    </w:p>
    <w:p>
      <w:pPr>
        <w:pStyle w:val="正文段落"/>
      </w:pPr>
      <w:r>
        <w:rPr>
          <w:rFonts w:ascii="Times New Roman" w:hAnsi="Times New Roman" w:eastAsia="宋体" w:cs="Times New Roman"/>
          <w:b/>
        </w:rPr>
        <w:t>（二）三个研究问题各自的答案。</w:t>
      </w:r>
    </w:p>
    <w:p>
      <w:pPr>
        <w:pStyle w:val="正文段落"/>
      </w:pPr>
      <w:r>
        <w:rPr>
          <w:rFonts w:ascii="Times New Roman" w:hAnsi="Times New Roman" w:eastAsia="宋体" w:cs="Times New Roman"/>
          <w:b/>
        </w:rPr>
        <w:t>RQ1（财经事件如何进行结构化表示）：已给出一套可交付、可查询、可追溯的表示；其质量受命名口径与参照口径的限制，并有若干属性本版未落地（导出物 schema 有 7 列恒为空串）。</w:t>
      </w:r>
      <w:r>
        <w:rPr>
          <w:rFonts w:ascii="Times New Roman" w:hAnsi="Times New Roman" w:eastAsia="宋体" w:cs="Times New Roman"/>
        </w:rPr>
        <w:t xml:space="preserve"> 表示方案由事件节点、固定的八类事件类型 schema、参与与发布关系、八条带三项证据属性的语义关系构成。可交付性由规模读数支持：图谱交付口径含 3607 个节点与 3614 条边、事件节点 1098 个（</w:t>
      </w:r>
      <w:r>
        <w:rPr>
          <w:rFonts w:ascii="Consolas" w:hAnsi="Consolas" w:eastAsia="宋体" w:cs="Consolas"/>
        </w:rPr>
        <w:t>交付物/04-数据与知识图谱/事件抽取与知识图谱\图谱导出\v2.1_v1_3\graph_stats.json</w:t>
      </w:r>
      <w:r>
        <w:rPr>
          <w:rFonts w:ascii="Times New Roman" w:hAnsi="Times New Roman" w:eastAsia="宋体" w:cs="Times New Roman"/>
        </w:rPr>
        <w:t>）。质量读数限定为 6.2 节登记的"金标准（三模型综合）口径"：实体 F1 0.5090、时间 F1 0.3924；单模型参照集口径下为 0.5360 与 0.3947，两套读数判据一致、并存报告。事件与关系的两判据落差最大，落差说明命名口径的影响远大于抽取能力本身（</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第三节）。强度限定：金标准的每个条目仍由模型给出、</w:t>
      </w:r>
      <w:r>
        <w:rPr>
          <w:rFonts w:ascii="Times New Roman" w:hAnsi="Times New Roman" w:eastAsia="宋体" w:cs="Times New Roman"/>
          <w:b/>
        </w:rPr>
        <w:t>未逐条复核</w:t>
      </w:r>
      <w:r>
        <w:rPr>
          <w:rFonts w:ascii="Times New Roman" w:hAnsi="Times New Roman" w:eastAsia="宋体" w:cs="Times New Roman"/>
        </w:rPr>
        <w:t>，本课题没有人工标注这一步，因此读数</w:t>
      </w:r>
      <w:r>
        <w:rPr>
          <w:rFonts w:ascii="Times New Roman" w:hAnsi="Times New Roman" w:eastAsia="宋体" w:cs="Times New Roman"/>
          <w:b/>
        </w:rPr>
        <w:t>不得等同于准确率</w:t>
      </w:r>
      <w:r>
        <w:rPr>
          <w:rFonts w:ascii="Times New Roman" w:hAnsi="Times New Roman" w:eastAsia="宋体" w:cs="Times New Roman"/>
        </w:rPr>
        <w:t>；三模型共识消除了单源自证，但模型间一致性本身存在上限，其中事件类共识最弱（共识事件仅 49 条）；交付槽位</w:t>
      </w:r>
      <w:r>
        <w:rPr>
          <w:rFonts w:ascii="Times New Roman" w:hAnsi="Times New Roman" w:eastAsia="宋体" w:cs="Times New Roman"/>
          <w:b/>
        </w:rPr>
        <w:t>仍全部为空</w:t>
      </w:r>
      <w:r>
        <w:rPr>
          <w:rFonts w:ascii="Times New Roman" w:hAnsi="Times New Roman" w:eastAsia="宋体" w:cs="Times New Roman"/>
        </w:rPr>
        <w:t>、未做任何代填。</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节），但它</w:t>
      </w:r>
      <w:r>
        <w:rPr>
          <w:rFonts w:ascii="Times New Roman" w:hAnsi="Times New Roman" w:eastAsia="宋体" w:cs="Times New Roman"/>
          <w:b/>
        </w:rPr>
        <w:t>不再是待办、缺口或未完成项</w:t>
      </w:r>
      <w:r>
        <w:rPr>
          <w:rFonts w:ascii="Times New Roman" w:hAnsi="Times New Roman" w:eastAsia="宋体" w:cs="Times New Roman"/>
        </w:rPr>
        <w:t>。</w:t>
      </w:r>
    </w:p>
    <w:p>
      <w:pPr>
        <w:pStyle w:val="正文段落"/>
      </w:pPr>
      <w:r>
        <w:rPr>
          <w:rFonts w:ascii="Times New Roman" w:hAnsi="Times New Roman" w:eastAsia="宋体" w:cs="Times New Roman"/>
          <w:b/>
        </w:rPr>
        <w:t>RQ2（知识图谱能否弥补传统向量 RAG 的关系检索不足）：两半都已给出肯定回答。</w:t>
      </w:r>
      <w:r>
        <w:rPr>
          <w:rFonts w:ascii="Times New Roman" w:hAnsi="Times New Roman" w:eastAsia="宋体" w:cs="Times New Roman"/>
        </w:rPr>
        <w:t xml:space="preserve"> 主要证据是纯向量检索（A 组）与"向量检索＋两跳图谱"（C 组）的对比，唯一变量是图谱是否启用。</w:t>
      </w:r>
      <w:r>
        <w:rPr>
          <w:rFonts w:ascii="Times New Roman" w:hAnsi="Times New Roman" w:eastAsia="宋体" w:cs="Times New Roman"/>
          <w:b/>
        </w:rPr>
        <w:t>证据完整性这一半</w:t>
      </w:r>
      <w:r>
        <w:rPr>
          <w:rFonts w:ascii="Times New Roman" w:hAnsi="Times New Roman" w:eastAsia="宋体" w:cs="Times New Roman"/>
        </w:rPr>
        <w:t>：正式集核心 108 题上，</w:t>
      </w:r>
      <w:r>
        <w:rPr>
          <w:rFonts w:ascii="Times New Roman" w:hAnsi="Times New Roman" w:eastAsia="宋体" w:cs="Times New Roman"/>
          <w:b/>
        </w:rPr>
        <w:t>Complete Evidence Recall@K 由 A 组的 0.715686 提高到 C 组的 0.809524</w:t>
      </w:r>
      <w:r>
        <w:rPr>
          <w:rFonts w:ascii="Times New Roman" w:hAnsi="Times New Roman" w:eastAsia="宋体" w:cs="Times New Roman"/>
        </w:rPr>
        <w:t>，Recall@K 由 0.776144 提高到 0.873016，关系型、多跳型、时序型三个子集全部高于基线（</w:t>
      </w:r>
      <w:r>
        <w:rPr>
          <w:rFonts w:ascii="Consolas" w:hAnsi="Consolas" w:eastAsia="宋体" w:cs="Consolas"/>
        </w:rPr>
        <w:t>交付物/06-实验与评测\对照产出_正式\A_vs_C_对照报告.md</w:t>
      </w:r>
      <w:r>
        <w:rPr>
          <w:rFonts w:ascii="Times New Roman" w:hAnsi="Times New Roman" w:eastAsia="宋体" w:cs="Times New Roman"/>
        </w:rPr>
        <w:t xml:space="preserve"> 第 1.1／4.1／4.2 节）。该差异的配对显著性检验结果为：Complete Evidence Recall@K Δ=+0.0891、p=0.0117；Recall@K Δ=+0.0941、p=0.0017；MRR Δ=+0.0109、p=0.0023（三项经 Bonferroni 校正后仍显著）。</w:t>
      </w:r>
      <w:r>
        <w:rPr>
          <w:rFonts w:ascii="Times New Roman" w:hAnsi="Times New Roman" w:eastAsia="宋体" w:cs="Times New Roman"/>
          <w:b/>
        </w:rPr>
        <w:t>回答正确性这一半</w:t>
      </w:r>
      <w:r>
        <w:rPr>
          <w:rFonts w:ascii="Times New Roman" w:hAnsi="Times New Roman" w:eastAsia="宋体" w:cs="Times New Roman"/>
        </w:rPr>
        <w:t>：按 6.2 节登记的</w:t>
      </w:r>
      <w:r>
        <w:rPr>
          <w:rFonts w:ascii="Times New Roman" w:hAnsi="Times New Roman" w:eastAsia="宋体" w:cs="Times New Roman"/>
          <w:b/>
        </w:rPr>
        <w:t>金标准（三模型综合）口径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——关系型 1.5093 → 1.6667（＋0.1574）、多跳型 1.5572 → 1.7619（＋0.2047）、时序型 1.5374 → 1.7255（＋0.1881）；历史两模型口径下为 1.5556 → 1.6571（＋0.1015）、1.5970 → 1.7714（＋0.1744）、1.5510 → 1.7255（＋0.1745），方向一致（</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第五节、第 6.8.1 节）。四条强度边界：该判定是</w:t>
      </w:r>
      <w:r>
        <w:rPr>
          <w:rFonts w:ascii="Times New Roman" w:hAnsi="Times New Roman" w:eastAsia="宋体" w:cs="Times New Roman"/>
          <w:b/>
        </w:rPr>
        <w:t>三模型共识口径</w:t>
      </w:r>
      <w:r>
        <w:rPr>
          <w:rFonts w:ascii="Times New Roman" w:hAnsi="Times New Roman" w:eastAsia="宋体" w:cs="Times New Roman"/>
        </w:rPr>
        <w:t>下的判定、</w:t>
      </w:r>
      <w:r>
        <w:rPr>
          <w:rFonts w:ascii="Times New Roman" w:hAnsi="Times New Roman" w:eastAsia="宋体" w:cs="Times New Roman"/>
          <w:b/>
        </w:rPr>
        <w:t>不是非模型口径</w:t>
      </w:r>
      <w:r>
        <w:rPr>
          <w:rFonts w:ascii="Times New Roman" w:hAnsi="Times New Roman" w:eastAsia="宋体" w:cs="Times New Roman"/>
        </w:rPr>
        <w:t>；判定范围＝核心 108 题，压力子集 12 题只作附加观察；30 题预实验集上同一对比在 Answer Accuracy 上</w:t>
      </w:r>
      <w:r>
        <w:rPr>
          <w:rFonts w:ascii="Times New Roman" w:hAnsi="Times New Roman" w:eastAsia="宋体" w:cs="Times New Roman"/>
          <w:b/>
        </w:rPr>
        <w:t>方向相反</w:t>
      </w:r>
      <w:r>
        <w:rPr>
          <w:rFonts w:ascii="Times New Roman" w:hAnsi="Times New Roman" w:eastAsia="宋体" w:cs="Times New Roman"/>
        </w:rPr>
        <w:t>（三模型综合口径 A 组 1.6778 高于 C 组 1.6667；历史两模型口径 1.7333 对 1.7000），两套读数并存不可混引；未通过门禁的题次按未通过处理、分母是有效题数。</w:t>
      </w:r>
    </w:p>
    <w:p>
      <w:pPr>
        <w:pStyle w:val="正文段落"/>
      </w:pPr>
      <w:r>
        <w:rPr>
          <w:rFonts w:ascii="Times New Roman" w:hAnsi="Times New Roman" w:eastAsia="宋体" w:cs="Times New Roman"/>
          <w:b/>
        </w:rPr>
        <w:t>RQ3（不同图谱检索策略对系统效果有什么影响）：深度维度的作用集中在一跳，继续加深到两跳不再增益；时间约束维度的代价大于收益；证据排序在本语料上是一条负向读数——三者的强度都限定为"在本数据集与固定实验配置下观察到"，并进一步限定为：深度维与时间过滤维的读数未达统计显著（相关差异在当前样本量下低于可检测下限），排序维读数未达统计显著且对口径与子集敏感。</w:t>
      </w:r>
      <w:r>
        <w:rPr>
          <w:rFonts w:ascii="Times New Roman" w:hAnsi="Times New Roman" w:eastAsia="宋体" w:cs="Times New Roman"/>
        </w:rPr>
        <w:t xml:space="preserve"> 深度维度上，</w:t>
      </w:r>
      <w:r>
        <w:rPr>
          <w:rFonts w:ascii="Times New Roman" w:hAnsi="Times New Roman" w:eastAsia="宋体" w:cs="Times New Roman"/>
          <w:b/>
        </w:rPr>
        <w:t>A → B（只加一跳）</w:t>
      </w:r>
      <w:r>
        <w:rPr>
          <w:rFonts w:ascii="Times New Roman" w:hAnsi="Times New Roman" w:eastAsia="宋体" w:cs="Times New Roman"/>
        </w:rPr>
        <w:t>四项指标一致上升，Complete Evidence Recall@K 由 0.715686 升到 0.820755；</w:t>
      </w:r>
      <w:r>
        <w:rPr>
          <w:rFonts w:ascii="Times New Roman" w:hAnsi="Times New Roman" w:eastAsia="宋体" w:cs="Times New Roman"/>
          <w:b/>
        </w:rPr>
        <w:t>B → C（继续扩展两跳）</w:t>
      </w:r>
      <w:r>
        <w:rPr>
          <w:rFonts w:ascii="Times New Roman" w:hAnsi="Times New Roman" w:eastAsia="宋体" w:cs="Times New Roman"/>
        </w:rPr>
        <w:t>不再增益而是略微回退到 0.809524，且这两步表示的是"在直接关系基础上继续扩展两跳带来的变化"，</w:t>
      </w:r>
      <w:r>
        <w:rPr>
          <w:rFonts w:ascii="Times New Roman" w:hAnsi="Times New Roman" w:eastAsia="宋体" w:cs="Times New Roman"/>
          <w:b/>
        </w:rPr>
        <w:t>不是</w:t>
      </w:r>
      <w:r>
        <w:rPr>
          <w:rFonts w:ascii="Times New Roman" w:hAnsi="Times New Roman" w:eastAsia="宋体" w:cs="Times New Roman"/>
        </w:rPr>
        <w:t>"两跳独有的关系带来的变化"。时间约束维度上，</w:t>
      </w:r>
      <w:r>
        <w:rPr>
          <w:rFonts w:ascii="Times New Roman" w:hAnsi="Times New Roman" w:eastAsia="宋体" w:cs="Times New Roman"/>
          <w:b/>
        </w:rPr>
        <w:t>C → D（只加时间过滤）</w:t>
      </w:r>
      <w:r>
        <w:rPr>
          <w:rFonts w:ascii="Times New Roman" w:hAnsi="Times New Roman" w:eastAsia="宋体" w:cs="Times New Roman"/>
        </w:rPr>
        <w:t>使该值由 0.809524 落到 0.790476，代价的一个直接来源是数据侧的时间缺失与空值剔除裁定，而剔除量</w:t>
      </w:r>
      <w:r>
        <w:rPr>
          <w:rFonts w:ascii="Times New Roman" w:hAnsi="Times New Roman" w:eastAsia="宋体" w:cs="Times New Roman"/>
          <w:b/>
        </w:rPr>
        <w:t>不等于</w:t>
      </w:r>
      <w:r>
        <w:rPr>
          <w:rFonts w:ascii="Times New Roman" w:hAnsi="Times New Roman" w:eastAsia="宋体" w:cs="Times New Roman"/>
        </w:rPr>
        <w:t>失败量。证据排序维度上，E 组与 D 组的最终证据集合</w:t>
      </w:r>
      <w:r>
        <w:rPr>
          <w:rFonts w:ascii="Times New Roman" w:hAnsi="Times New Roman" w:eastAsia="宋体" w:cs="Times New Roman"/>
          <w:b/>
        </w:rPr>
        <w:t>逐题完全相同（117／117）</w:t>
      </w:r>
      <w:r>
        <w:rPr>
          <w:rFonts w:ascii="Times New Roman" w:hAnsi="Times New Roman" w:eastAsia="宋体" w:cs="Times New Roman"/>
        </w:rPr>
        <w:t>且呈现顺序</w:t>
      </w:r>
      <w:r>
        <w:rPr>
          <w:rFonts w:ascii="Times New Roman" w:hAnsi="Times New Roman" w:eastAsia="宋体" w:cs="Times New Roman"/>
          <w:b/>
        </w:rPr>
        <w:t>逐题不同（117／117）</w:t>
      </w:r>
      <w:r>
        <w:rPr>
          <w:rFonts w:ascii="Times New Roman" w:hAnsi="Times New Roman" w:eastAsia="宋体" w:cs="Times New Roman"/>
        </w:rPr>
        <w:t xml:space="preserve">，在集合不变的前提下 </w:t>
      </w:r>
      <w:r>
        <w:rPr>
          <w:rFonts w:ascii="Times New Roman" w:hAnsi="Times New Roman" w:eastAsia="宋体" w:cs="Times New Roman"/>
          <w:b/>
        </w:rPr>
        <w:t>MRR 由 0.604588 落到 0.547653</w:t>
      </w:r>
      <w:r>
        <w:rPr>
          <w:rFonts w:ascii="Times New Roman" w:hAnsi="Times New Roman" w:eastAsia="宋体" w:cs="Times New Roman"/>
        </w:rPr>
        <w:t>（配对检验 Δ=−0.0569、p=0.2055，未达统计显著；该读数对口径与子集敏感，压力子集上方向反转为 Δ=+0.3673、p=0.0156）、其余三行逐位相同；按项目口径 E 组是</w:t>
      </w:r>
      <w:r>
        <w:rPr>
          <w:rFonts w:ascii="Times New Roman" w:hAnsi="Times New Roman" w:eastAsia="宋体" w:cs="Times New Roman"/>
          <w:b/>
        </w:rPr>
        <w:t>独立的进一步优化实验</w:t>
      </w:r>
      <w:r>
        <w:rPr>
          <w:rFonts w:ascii="Times New Roman" w:hAnsi="Times New Roman" w:eastAsia="宋体" w:cs="Times New Roman"/>
        </w:rPr>
        <w:t>、不并入 RQ3，此处作为一条单独的负向读数报告。</w:t>
      </w:r>
    </w:p>
    <w:p>
      <w:pPr>
        <w:pStyle w:val="正文段落"/>
      </w:pPr>
      <w:r>
        <w:rPr>
          <w:rFonts w:ascii="Times New Roman" w:hAnsi="Times New Roman" w:eastAsia="宋体" w:cs="Times New Roman"/>
          <w:b/>
        </w:rPr>
        <w:t>（三）三条假设各自被支持还是未被支持。</w:t>
      </w:r>
    </w:p>
    <w:p>
      <w:pPr>
        <w:pStyle w:val="正文段落"/>
      </w:pPr>
      <w:r>
        <w:rPr>
          <w:rFonts w:ascii="Times New Roman" w:hAnsi="Times New Roman" w:eastAsia="宋体" w:cs="Times New Roman"/>
          <w:b/>
        </w:rPr>
        <w:t>H1（KG-RAG 与 Vector RAG 在证据召回与 Answer Accuracy 上存在差异）：成立。</w:t>
      </w:r>
      <w:r>
        <w:rPr>
          <w:rFonts w:ascii="Times New Roman" w:hAnsi="Times New Roman" w:eastAsia="宋体" w:cs="Times New Roman"/>
        </w:rPr>
        <w:t xml:space="preserve"> H1 由两半构成：① </w:t>
      </w:r>
      <w:r>
        <w:rPr>
          <w:rFonts w:ascii="Times New Roman" w:hAnsi="Times New Roman" w:eastAsia="宋体" w:cs="Times New Roman"/>
          <w:b/>
        </w:rPr>
        <w:t>完整证据召回这一半在正式集上成立</w:t>
      </w:r>
      <w:r>
        <w:rPr>
          <w:rFonts w:ascii="Times New Roman" w:hAnsi="Times New Roman" w:eastAsia="宋体" w:cs="Times New Roman"/>
        </w:rPr>
        <w:t>——核心 108 题总体与关系型、多跳型、时序型</w:t>
      </w:r>
      <w:r>
        <w:rPr>
          <w:rFonts w:ascii="Times New Roman" w:hAnsi="Times New Roman" w:eastAsia="宋体" w:cs="Times New Roman"/>
          <w:b/>
        </w:rPr>
        <w:t>三个子集全部成立</w:t>
      </w:r>
      <w:r>
        <w:rPr>
          <w:rFonts w:ascii="Times New Roman" w:hAnsi="Times New Roman" w:eastAsia="宋体" w:cs="Times New Roman"/>
        </w:rPr>
        <w:t xml:space="preserve">；② </w:t>
      </w:r>
      <w:r>
        <w:rPr>
          <w:rFonts w:ascii="Times New Roman" w:hAnsi="Times New Roman" w:eastAsia="宋体" w:cs="Times New Roman"/>
          <w:b/>
        </w:rPr>
        <w:t>Answer Accuracy 这一半也已给出并且成立</w:t>
      </w:r>
      <w:r>
        <w:rPr>
          <w:rFonts w:ascii="Times New Roman" w:hAnsi="Times New Roman" w:eastAsia="宋体" w:cs="Times New Roman"/>
        </w:rPr>
        <w:t>——按</w:t>
      </w:r>
      <w:r>
        <w:rPr>
          <w:rFonts w:ascii="Times New Roman" w:hAnsi="Times New Roman" w:eastAsia="宋体" w:cs="Times New Roman"/>
          <w:b/>
        </w:rPr>
        <w:t>模型评分口径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（＋0.1015／＋0.1744／＋0.1745），与检索侧同向。两半的读数、落点与逐子集合取判定见 RQ2 的答案与第6章 6.8.1 节。</w:t>
      </w:r>
      <w:r>
        <w:rPr>
          <w:rFonts w:ascii="Times New Roman" w:hAnsi="Times New Roman" w:eastAsia="宋体" w:cs="Times New Roman"/>
          <w:b/>
        </w:rPr>
        <w:t>必须连读的口径限定（不得省略）</w:t>
      </w:r>
      <w:r>
        <w:rPr>
          <w:rFonts w:ascii="Times New Roman" w:hAnsi="Times New Roman" w:eastAsia="宋体" w:cs="Times New Roman"/>
        </w:rPr>
        <w:t>：这是</w:t>
      </w:r>
      <w:r>
        <w:rPr>
          <w:rFonts w:ascii="Times New Roman" w:hAnsi="Times New Roman" w:eastAsia="宋体" w:cs="Times New Roman"/>
          <w:b/>
        </w:rPr>
        <w:t>三模型共识评分口径</w:t>
      </w:r>
      <w:r>
        <w:rPr>
          <w:rFonts w:ascii="Times New Roman" w:hAnsi="Times New Roman" w:eastAsia="宋体" w:cs="Times New Roman"/>
        </w:rPr>
        <w:t>下的判定，其金标准</w:t>
      </w:r>
      <w:r>
        <w:rPr>
          <w:rFonts w:ascii="Times New Roman" w:hAnsi="Times New Roman" w:eastAsia="宋体" w:cs="Times New Roman"/>
          <w:b/>
        </w:rPr>
        <w:t>每个条目仍由模型给出、未做人工逐条复核</w:t>
      </w:r>
      <w:r>
        <w:rPr>
          <w:rFonts w:ascii="Times New Roman" w:hAnsi="Times New Roman" w:eastAsia="宋体" w:cs="Times New Roman"/>
        </w:rPr>
        <w:t>，本课题</w:t>
      </w:r>
      <w:r>
        <w:rPr>
          <w:rFonts w:ascii="Times New Roman" w:hAnsi="Times New Roman" w:eastAsia="宋体" w:cs="Times New Roman"/>
          <w:b/>
        </w:rPr>
        <w:t>没有任何非模型对照物</w:t>
      </w:r>
      <w:r>
        <w:rPr>
          <w:rFonts w:ascii="Times New Roman" w:hAnsi="Times New Roman" w:eastAsia="宋体" w:cs="Times New Roman"/>
        </w:rPr>
        <w:t>；判定范围＝核心测试集 108 题；第6章 6.8.2 节的跨厂商模型评审读数</w:t>
      </w:r>
      <w:r>
        <w:rPr>
          <w:rFonts w:ascii="Times New Roman" w:hAnsi="Times New Roman" w:eastAsia="宋体" w:cs="Times New Roman"/>
          <w:b/>
        </w:rPr>
        <w:t>限定为 30 题预实验集</w:t>
      </w:r>
      <w:r>
        <w:rPr>
          <w:rFonts w:ascii="Times New Roman" w:hAnsi="Times New Roman" w:eastAsia="宋体" w:cs="Times New Roman"/>
        </w:rPr>
        <w:t>且与正式集</w:t>
      </w:r>
      <w:r>
        <w:rPr>
          <w:rFonts w:ascii="Times New Roman" w:hAnsi="Times New Roman" w:eastAsia="宋体" w:cs="Times New Roman"/>
          <w:b/>
        </w:rPr>
        <w:t>方向相反</w:t>
      </w:r>
      <w:r>
        <w:rPr>
          <w:rFonts w:ascii="Times New Roman" w:hAnsi="Times New Roman" w:eastAsia="宋体" w:cs="Times New Roman"/>
        </w:rPr>
        <w:t>，两套读数并存、不可混引。</w:t>
      </w:r>
    </w:p>
    <w:p>
      <w:pPr>
        <w:pStyle w:val="正文段落"/>
      </w:pPr>
      <w:r>
        <w:rPr>
          <w:rFonts w:ascii="Times New Roman" w:hAnsi="Times New Roman" w:eastAsia="宋体" w:cs="Times New Roman"/>
          <w:b/>
        </w:rPr>
        <w:t>H2（不同系统检索深度在证据覆盖与回答质量指标上存在差异）：两半都可判定——证据覆盖一侧"一跳成立、两跳不成立"，回答质量一侧给出五组读数与方向。</w:t>
      </w:r>
      <w:r>
        <w:rPr>
          <w:rFonts w:ascii="Times New Roman" w:hAnsi="Times New Roman" w:eastAsia="宋体" w:cs="Times New Roman"/>
        </w:rPr>
        <w:t xml:space="preserve"> H2 检验的变量是系统检索深度（0 跳、1 跳、2 跳），对应消融 A／B／C 三组。证据覆盖侧：</w:t>
      </w:r>
      <w:r>
        <w:rPr>
          <w:rFonts w:ascii="Times New Roman" w:hAnsi="Times New Roman" w:eastAsia="宋体" w:cs="Times New Roman"/>
          <w:b/>
        </w:rPr>
        <w:t>一跳相对零跳成立</w:t>
      </w:r>
      <w:r>
        <w:rPr>
          <w:rFonts w:ascii="Times New Roman" w:hAnsi="Times New Roman" w:eastAsia="宋体" w:cs="Times New Roman"/>
        </w:rPr>
        <w:t>、</w:t>
      </w:r>
      <w:r>
        <w:rPr>
          <w:rFonts w:ascii="Times New Roman" w:hAnsi="Times New Roman" w:eastAsia="宋体" w:cs="Times New Roman"/>
          <w:b/>
        </w:rPr>
        <w:t>两跳相对一跳不成立</w:t>
      </w:r>
      <w:r>
        <w:rPr>
          <w:rFonts w:ascii="Times New Roman" w:hAnsi="Times New Roman" w:eastAsia="宋体" w:cs="Times New Roman"/>
        </w:rPr>
        <w:t>（见 RQ3），有效区间止于一跳。上述"不成立"须读作</w:t>
      </w:r>
      <w:r>
        <w:rPr>
          <w:rFonts w:ascii="Times New Roman" w:hAnsi="Times New Roman" w:eastAsia="宋体" w:cs="Times New Roman"/>
          <w:b/>
        </w:rPr>
        <w:t>在 105 道共同有效题上未检出增益</w:t>
      </w:r>
      <w:r>
        <w:rPr>
          <w:rFonts w:ascii="Times New Roman" w:hAnsi="Times New Roman" w:eastAsia="宋体" w:cs="Times New Roman"/>
        </w:rPr>
        <w:t>（B→C：Complete Evidence Recall@K p=1.0000、Recall@K p=0.3173、MRR 逐题差值全为 0），受不一致对仅 1 对的分辨率限制，属未检出差异而非已证实无效。回答质量侧，按</w:t>
      </w:r>
      <w:r>
        <w:rPr>
          <w:rFonts w:ascii="Times New Roman" w:hAnsi="Times New Roman" w:eastAsia="宋体" w:cs="Times New Roman"/>
          <w:b/>
        </w:rPr>
        <w:t>金标准（三模型综合）口径</w:t>
      </w:r>
      <w:r>
        <w:rPr>
          <w:rFonts w:ascii="Times New Roman" w:hAnsi="Times New Roman" w:eastAsia="宋体" w:cs="Times New Roman"/>
        </w:rPr>
        <w:t>评出的五组读数为 Answer Accuracy A 1.6637／B 1.8220／C 1.8091／D 1.7493／E 1.7635（历史两模型口径对照：1.6903／1.8390／1.8120／1.7607／1.7863）、Completeness A 1.6195／B 1.7881／C 1.7692／D 1.6923／E 1.7179（</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第三节）。方向如实写：</w:t>
      </w:r>
      <w:r>
        <w:rPr>
          <w:rFonts w:ascii="Times New Roman" w:hAnsi="Times New Roman" w:eastAsia="宋体" w:cs="Times New Roman"/>
          <w:b/>
        </w:rPr>
        <w:t>这两项同样是"一跳相对零跳上升、两跳相对一跳不成立"</w:t>
      </w:r>
      <w:r>
        <w:rPr>
          <w:rFonts w:ascii="Times New Roman" w:hAnsi="Times New Roman" w:eastAsia="宋体" w:cs="Times New Roman"/>
        </w:rPr>
        <w:t>（AA 1.6903 → 1.8390 → 1.8120；Completeness 1.6195 → 1.7881 → 1.7692），与证据覆盖侧</w:t>
      </w:r>
      <w:r>
        <w:rPr>
          <w:rFonts w:ascii="Times New Roman" w:hAnsi="Times New Roman" w:eastAsia="宋体" w:cs="Times New Roman"/>
          <w:b/>
        </w:rPr>
        <w:t>一致</w:t>
      </w:r>
      <w:r>
        <w:rPr>
          <w:rFonts w:ascii="Times New Roman" w:hAnsi="Times New Roman" w:eastAsia="宋体" w:cs="Times New Roman"/>
        </w:rPr>
        <w:t>；基线 A 组在这两项上都是五组中最低的一组。另须避免一个常被写错的推论：</w:t>
      </w:r>
      <w:r>
        <w:rPr>
          <w:rFonts w:ascii="Times New Roman" w:hAnsi="Times New Roman" w:eastAsia="宋体" w:cs="Times New Roman"/>
          <w:b/>
        </w:rPr>
        <w:t>系统检索深度与题集的标注路径深度是两个量</w:t>
      </w:r>
      <w:r>
        <w:rPr>
          <w:rFonts w:ascii="Times New Roman" w:hAnsi="Times New Roman" w:eastAsia="宋体" w:cs="Times New Roman"/>
        </w:rPr>
        <w:t xml:space="preserve">（前者是实验自变量，后者是问题的金标准属性 </w:t>
      </w:r>
      <w:r>
        <w:rPr>
          <w:rFonts w:ascii="Consolas" w:hAnsi="Consolas" w:eastAsia="宋体" w:cs="Consolas"/>
        </w:rPr>
        <w:t>gold_hop_depth</w:t>
      </w:r>
      <w:r>
        <w:rPr>
          <w:rFonts w:ascii="Times New Roman" w:hAnsi="Times New Roman" w:eastAsia="宋体" w:cs="Times New Roman"/>
        </w:rPr>
        <w:t>），不得互相换算。</w:t>
      </w:r>
    </w:p>
    <w:p>
      <w:pPr>
        <w:pStyle w:val="正文段落"/>
      </w:pPr>
      <w:r>
        <w:rPr>
          <w:rFonts w:ascii="Times New Roman" w:hAnsi="Times New Roman" w:eastAsia="宋体" w:cs="Times New Roman"/>
          <w:b/>
        </w:rPr>
        <w:t>H3（系统检索深度固定为 2 跳时，具有明确时间约束的子集上启用与不启用时间过滤存在差异）：证据检索质量一侧给出了方向性观察，"无关证据数量"一侧在本轮</w:t>
      </w:r>
      <w:r>
        <w:rPr>
          <w:rFonts w:ascii="Times New Roman" w:hAnsi="Times New Roman" w:eastAsia="宋体" w:cs="Times New Roman"/>
        </w:rPr>
        <w:t>仍然没有对应读数</w:t>
      </w:r>
      <w:r>
        <w:rPr>
          <w:rFonts w:ascii="Times New Roman" w:hAnsi="Times New Roman" w:eastAsia="宋体" w:cs="Times New Roman"/>
          <w:b/>
        </w:rPr>
        <w:t>，故</w:t>
      </w:r>
      <w:r>
        <w:rPr>
          <w:rFonts w:ascii="Times New Roman" w:hAnsi="Times New Roman" w:eastAsia="宋体" w:cs="Times New Roman"/>
        </w:rPr>
        <w:t>不判定状态不变</w:t>
      </w:r>
      <w:r>
        <w:rPr>
          <w:rFonts w:ascii="Times New Roman" w:hAnsi="Times New Roman" w:eastAsia="宋体" w:cs="Times New Roman"/>
          <w:b/>
        </w:rPr>
        <w:t>。</w:t>
      </w:r>
      <w:r>
        <w:rPr>
          <w:rFonts w:ascii="Times New Roman" w:hAnsi="Times New Roman" w:eastAsia="宋体" w:cs="Times New Roman"/>
        </w:rPr>
        <w:t xml:space="preserve"> 本轮</w:t>
      </w:r>
      <w:r>
        <w:rPr>
          <w:rFonts w:ascii="Times New Roman" w:hAnsi="Times New Roman" w:eastAsia="宋体" w:cs="Times New Roman"/>
          <w:b/>
        </w:rPr>
        <w:t>没有新增任何以人为对照物的读数</w:t>
      </w:r>
      <w:r>
        <w:rPr>
          <w:rFonts w:ascii="Times New Roman" w:hAnsi="Times New Roman" w:eastAsia="宋体" w:cs="Times New Roman"/>
        </w:rPr>
        <w:t>：本课题的全部评测一律是</w:t>
      </w:r>
      <w:r>
        <w:rPr>
          <w:rFonts w:ascii="Times New Roman" w:hAnsi="Times New Roman" w:eastAsia="宋体" w:cs="Times New Roman"/>
          <w:b/>
        </w:rPr>
        <w:t>模型口径</w:t>
      </w:r>
      <w:r>
        <w:rPr>
          <w:rFonts w:ascii="Times New Roman" w:hAnsi="Times New Roman" w:eastAsia="宋体" w:cs="Times New Roman"/>
        </w:rPr>
        <w:t>（抽取评测为模型参照集口径、问答评分为模型评分口径），</w:t>
      </w:r>
      <w:r>
        <w:rPr>
          <w:rFonts w:ascii="Times New Roman" w:hAnsi="Times New Roman" w:eastAsia="宋体" w:cs="Times New Roman"/>
          <w:b/>
        </w:rPr>
        <w:t>没有任何非模型逐题核查这一步</w:t>
      </w:r>
      <w:r>
        <w:rPr>
          <w:rFonts w:ascii="Times New Roman" w:hAnsi="Times New Roman" w:eastAsia="宋体" w:cs="Times New Roman"/>
        </w:rPr>
        <w:t>，因此 H3 指标里那个以非模型作为对照物的量（《02》第 4.3 节的"无关证据条数"）在本轮</w:t>
      </w:r>
      <w:r>
        <w:rPr>
          <w:rFonts w:ascii="Times New Roman" w:hAnsi="Times New Roman" w:eastAsia="宋体" w:cs="Times New Roman"/>
          <w:b/>
        </w:rPr>
        <w:t>同样没有对应读数</w:t>
      </w:r>
      <w:r>
        <w:rPr>
          <w:rFonts w:ascii="Times New Roman" w:hAnsi="Times New Roman" w:eastAsia="宋体" w:cs="Times New Roman"/>
        </w:rPr>
        <w:t>，本节</w:t>
      </w:r>
      <w:r>
        <w:rPr>
          <w:rFonts w:ascii="Times New Roman" w:hAnsi="Times New Roman" w:eastAsia="宋体" w:cs="Times New Roman"/>
          <w:b/>
        </w:rPr>
        <w:t>不给出、也不推测</w:t>
      </w:r>
      <w:r>
        <w:rPr>
          <w:rFonts w:ascii="Times New Roman" w:hAnsi="Times New Roman" w:eastAsia="宋体" w:cs="Times New Roman"/>
        </w:rPr>
        <w:t>该量，</w:t>
      </w:r>
      <w:r>
        <w:rPr>
          <w:rFonts w:ascii="Times New Roman" w:hAnsi="Times New Roman" w:eastAsia="宋体" w:cs="Times New Roman"/>
          <w:b/>
        </w:rPr>
        <w:t>不得</w:t>
      </w:r>
      <w:r>
        <w:rPr>
          <w:rFonts w:ascii="Times New Roman" w:hAnsi="Times New Roman" w:eastAsia="宋体" w:cs="Times New Roman"/>
        </w:rPr>
        <w:t>改写成"H3 成立"或"H3 不成立"。可判定的那一侧：C 组与 D 组的唯一变量是时间过滤、两组检索深度都固定为两跳，核心 108 题上 Complete Evidence Recall@K 与 Recall@K 同步下降（见 RQ3），即</w:t>
      </w:r>
      <w:r>
        <w:rPr>
          <w:rFonts w:ascii="Times New Roman" w:hAnsi="Times New Roman" w:eastAsia="宋体" w:cs="Times New Roman"/>
          <w:b/>
        </w:rPr>
        <w:t>时间过滤确实改变了证据集合，但总体代价大于收益</w:t>
      </w:r>
      <w:r>
        <w:rPr>
          <w:rFonts w:ascii="Times New Roman" w:hAnsi="Times New Roman" w:eastAsia="宋体" w:cs="Times New Roman"/>
        </w:rPr>
        <w:t>；连带声明：其代价的一个直接来源是数据侧的时间缺失（见第三部分第六条）。</w:t>
      </w:r>
    </w:p>
    <w:p>
      <w:pPr>
        <w:pStyle w:val="正文段落"/>
      </w:pPr>
      <w:r>
        <w:rPr>
          <w:rFonts w:ascii="Times New Roman" w:hAnsi="Times New Roman" w:eastAsia="宋体" w:cs="Times New Roman"/>
          <w:b/>
        </w:rPr>
        <w:t>（四）主要工作与特色。</w:t>
      </w:r>
      <w:r>
        <w:rPr>
          <w:rFonts w:ascii="Times New Roman" w:hAnsi="Times New Roman" w:eastAsia="宋体" w:cs="Times New Roman"/>
        </w:rPr>
        <w:t xml:space="preserve"> 三条特色沿用《02》第十四章的口径，各条的落点如下。</w:t>
      </w:r>
    </w:p>
    <w:p>
      <w:pPr>
        <w:pStyle w:val="正文段落"/>
      </w:pPr>
      <w:r>
        <w:rPr>
          <w:rFonts w:ascii="Times New Roman" w:hAnsi="Times New Roman" w:eastAsia="宋体" w:cs="Times New Roman"/>
          <w:b/>
        </w:rPr>
        <w:t>特色一：面向财经事件的事件中心化知识表示。</w:t>
      </w:r>
      <w:r>
        <w:rPr>
          <w:rFonts w:ascii="Times New Roman" w:hAnsi="Times New Roman" w:eastAsia="宋体" w:cs="Times New Roman"/>
        </w:rPr>
        <w:t xml:space="preserve"> 事件作为独立节点承载事件类型、事件名称、事件时间、描述与置信度，事件类型固定为八类并作为抽取、标注与评测唯一的 schema，并通过实体消歧与事件去重保证同一实体、同一事件只出现一次（</w:t>
      </w:r>
      <w:r>
        <w:rPr>
          <w:rFonts w:ascii="Consolas" w:hAnsi="Consolas" w:eastAsia="宋体" w:cs="Consolas"/>
        </w:rPr>
        <w:t>交付物/01-论文\_分章源文件\05-第五章-系统实现.md</w:t>
      </w:r>
      <w:r>
        <w:rPr>
          <w:rFonts w:ascii="Times New Roman" w:hAnsi="Times New Roman" w:eastAsia="宋体" w:cs="Times New Roman"/>
        </w:rPr>
        <w:t xml:space="preserve"> 第 5.2～5.4 节）；第6章落点是 RQ1 的抽取读数与 6.3 节的口径限定。</w:t>
      </w:r>
    </w:p>
    <w:p>
      <w:pPr>
        <w:pStyle w:val="正文段落"/>
      </w:pPr>
      <w:r>
        <w:rPr>
          <w:rFonts w:ascii="Times New Roman" w:hAnsi="Times New Roman" w:eastAsia="宋体" w:cs="Times New Roman"/>
          <w:b/>
        </w:rPr>
        <w:t>特色二：融合实体关系与时间约束的知识图谱增强混合检索方法。</w:t>
      </w:r>
      <w:r>
        <w:rPr>
          <w:rFonts w:ascii="Times New Roman" w:hAnsi="Times New Roman" w:eastAsia="宋体" w:cs="Times New Roman"/>
        </w:rPr>
        <w:t xml:space="preserve"> 在向量检索基础上引入图谱扩展，把最终证据集合的形成固定为不可重排的五步契约，其中时间过滤必须先于候选合并去重，否则时间约束这一变量失去可观察差异（</w:t>
      </w:r>
      <w:r>
        <w:rPr>
          <w:rFonts w:ascii="Consolas" w:hAnsi="Consolas" w:eastAsia="宋体" w:cs="Consolas"/>
        </w:rPr>
        <w:t>交付物/01-论文\_分章源文件\05-第五章-系统实现.md</w:t>
      </w:r>
      <w:r>
        <w:rPr>
          <w:rFonts w:ascii="Times New Roman" w:hAnsi="Times New Roman" w:eastAsia="宋体" w:cs="Times New Roman"/>
        </w:rPr>
        <w:t xml:space="preserve"> 第 5.6 节）；第6章落点是 6.7 节与 6.9 节。</w:t>
      </w:r>
    </w:p>
    <w:p>
      <w:pPr>
        <w:pStyle w:val="正文段落"/>
      </w:pPr>
      <w:r>
        <w:rPr>
          <w:rFonts w:ascii="Times New Roman" w:hAnsi="Times New Roman" w:eastAsia="宋体" w:cs="Times New Roman"/>
          <w:b/>
        </w:rPr>
        <w:t>特色三：面向财经事件多跳问答的证据追溯与系统化评测机制。</w:t>
      </w:r>
      <w:r>
        <w:rPr>
          <w:rFonts w:ascii="Times New Roman" w:hAnsi="Times New Roman" w:eastAsia="宋体" w:cs="Times New Roman"/>
        </w:rPr>
        <w:t xml:space="preserve"> 系统为每条答案保留证据文档与文本块、对用了图谱扩展的回答保留图谱路径（</w:t>
      </w:r>
      <w:r>
        <w:rPr>
          <w:rFonts w:ascii="Consolas" w:hAnsi="Consolas" w:eastAsia="宋体" w:cs="Consolas"/>
        </w:rPr>
        <w:t>交付物/01-论文\_分章源文件\05-第五章-系统实现.md</w:t>
      </w:r>
      <w:r>
        <w:rPr>
          <w:rFonts w:ascii="Times New Roman" w:hAnsi="Times New Roman" w:eastAsia="宋体" w:cs="Times New Roman"/>
        </w:rPr>
        <w:t xml:space="preserve"> 第 5.8 节）；评测侧的口径纪律也是这一条的实质——正式集按"全部 120 题／核心 108 题／压力子集 12 题"三段口径分别声明分母与适用范围，判定按三个子集分别进行、不合并（</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 与 6.8 节）。</w:t>
      </w:r>
    </w:p>
    <w:p>
      <w:pPr>
        <w:pStyle w:val="正文段落"/>
      </w:pPr>
      <w:r>
        <w:rPr>
          <w:rFonts w:ascii="Times New Roman" w:hAnsi="Times New Roman" w:eastAsia="宋体" w:cs="Times New Roman"/>
          <w:b/>
        </w:rPr>
        <w:t>三、必须如实说明的负结果与未完成部分。</w:t>
      </w:r>
    </w:p>
    <w:p>
      <w:pPr>
        <w:pStyle w:val="正文段落"/>
      </w:pPr>
      <w:r>
        <w:rPr>
          <w:rFonts w:ascii="Times New Roman" w:hAnsi="Times New Roman" w:eastAsia="宋体" w:cs="Times New Roman"/>
        </w:rPr>
        <w:t>第一，</w:t>
      </w:r>
      <w:r>
        <w:rPr>
          <w:rFonts w:ascii="Times New Roman" w:hAnsi="Times New Roman" w:eastAsia="宋体" w:cs="Times New Roman"/>
          <w:b/>
        </w:rPr>
        <w:t>正式全量实验已完成，知识图谱的检索增益在正式集上成立</w:t>
      </w:r>
      <w:r>
        <w:rPr>
          <w:rFonts w:ascii="Times New Roman" w:hAnsi="Times New Roman" w:eastAsia="宋体" w:cs="Times New Roman"/>
        </w:rPr>
        <w:t xml:space="preserve">。120 题 × 6 组（有效题数 A 113／B 118／C 117／D 117／E 117／Baseline 1 120；核心 108 题口径下 A 102／B 106／C 105／D 105／E 105）已在冻结配置下运行完成，第6章 6.7 至 6.10 四节即按该层读数展开。核心 108 题口径下，方法组相对向量检索基线组的 Complete Evidence Recall@K </w:t>
      </w:r>
      <w:r>
        <w:rPr>
          <w:rFonts w:ascii="Times New Roman" w:hAnsi="Times New Roman" w:eastAsia="宋体" w:cs="Times New Roman"/>
          <w:b/>
        </w:rPr>
        <w:t>由 0.715686 提高到 0.809524</w:t>
      </w:r>
      <w:r>
        <w:rPr>
          <w:rFonts w:ascii="Times New Roman" w:hAnsi="Times New Roman" w:eastAsia="宋体" w:cs="Times New Roman"/>
        </w:rPr>
        <w:t>，三个子集上"完整证据召回高于基线"全部成立；正式集问答质量评分已按</w:t>
      </w:r>
      <w:r>
        <w:rPr>
          <w:rFonts w:ascii="Times New Roman" w:hAnsi="Times New Roman" w:eastAsia="宋体" w:cs="Times New Roman"/>
          <w:b/>
        </w:rPr>
        <w:t>模型评分口径（跨厂商模型评审）</w:t>
      </w:r>
      <w:r>
        <w:rPr>
          <w:rFonts w:ascii="Times New Roman" w:hAnsi="Times New Roman" w:eastAsia="宋体" w:cs="Times New Roman"/>
        </w:rPr>
        <w:t>完成（582 条有效答案），《02》第12.8节 的合取判定在核心 108 题上</w:t>
      </w:r>
      <w:r>
        <w:rPr>
          <w:rFonts w:ascii="Times New Roman" w:hAnsi="Times New Roman" w:eastAsia="宋体" w:cs="Times New Roman"/>
          <w:b/>
        </w:rPr>
        <w:t>三个子集全部成立</w:t>
      </w:r>
      <w:r>
        <w:rPr>
          <w:rFonts w:ascii="Times New Roman" w:hAnsi="Times New Roman" w:eastAsia="宋体" w:cs="Times New Roman"/>
        </w:rPr>
        <w:t>（判定口径为模型评分口径，判定范围＝核心 108 题）。</w:t>
      </w:r>
    </w:p>
    <w:p>
      <w:pPr>
        <w:pStyle w:val="正文段落"/>
      </w:pPr>
      <w:r>
        <w:rPr>
          <w:rFonts w:ascii="Times New Roman" w:hAnsi="Times New Roman" w:eastAsia="宋体" w:cs="Times New Roman"/>
        </w:rPr>
        <w:t>第二，</w:t>
      </w:r>
      <w:r>
        <w:rPr>
          <w:rFonts w:ascii="Times New Roman" w:hAnsi="Times New Roman" w:eastAsia="宋体" w:cs="Times New Roman"/>
          <w:b/>
        </w:rPr>
        <w:t>已完成的决定性实验没有翻转结论</w:t>
      </w:r>
      <w:r>
        <w:rPr>
          <w:rFonts w:ascii="Times New Roman" w:hAnsi="Times New Roman" w:eastAsia="宋体" w:cs="Times New Roman"/>
        </w:rPr>
        <w:t>。干预实验把"含两个以上公司参与方的事件"由 16 个加厚到 286 个（约 18 倍），方法组的最终证据集合在加厚前后逐题相同（30／30）、五组的 Complete Evidence Recall@K 仍全部等于同一个值，结论</w:t>
      </w:r>
      <w:r>
        <w:rPr>
          <w:rFonts w:ascii="Times New Roman" w:hAnsi="Times New Roman" w:eastAsia="宋体" w:cs="Times New Roman"/>
          <w:b/>
        </w:rPr>
        <w:t>没有翻转</w:t>
      </w:r>
      <w:r>
        <w:rPr>
          <w:rFonts w:ascii="Times New Roman" w:hAnsi="Times New Roman" w:eastAsia="宋体" w:cs="Times New Roman"/>
        </w:rPr>
        <w:t>；其适用边界是</w:t>
      </w:r>
      <w:r>
        <w:rPr>
          <w:rFonts w:ascii="Times New Roman" w:hAnsi="Times New Roman" w:eastAsia="宋体" w:cs="Times New Roman"/>
          <w:b/>
        </w:rPr>
        <w:t>以配置公司为主体的题目</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两轮实验的读数方向相反，且两套读数并存</w:t>
      </w:r>
      <w:r>
        <w:rPr>
          <w:rFonts w:ascii="Times New Roman" w:hAnsi="Times New Roman" w:eastAsia="宋体" w:cs="Times New Roman"/>
        </w:rPr>
        <w:t xml:space="preserve">。30 题预实验集上，五组 Complete Evidence Recall@K </w:t>
      </w:r>
      <w:r>
        <w:rPr>
          <w:rFonts w:ascii="Times New Roman" w:hAnsi="Times New Roman" w:eastAsia="宋体" w:cs="Times New Roman"/>
          <w:b/>
        </w:rPr>
        <w:t>完全持平</w:t>
      </w:r>
      <w:r>
        <w:rPr>
          <w:rFonts w:ascii="Times New Roman" w:hAnsi="Times New Roman" w:eastAsia="宋体" w:cs="Times New Roman"/>
        </w:rPr>
        <w:t xml:space="preserve">、同为 </w:t>
      </w:r>
      <w:r>
        <w:rPr>
          <w:rFonts w:ascii="Times New Roman" w:hAnsi="Times New Roman" w:eastAsia="宋体" w:cs="Times New Roman"/>
          <w:b/>
        </w:rPr>
        <w:t>0.566667</w:t>
      </w:r>
      <w:r>
        <w:rPr>
          <w:rFonts w:ascii="Times New Roman" w:hAnsi="Times New Roman" w:eastAsia="宋体" w:cs="Times New Roman"/>
        </w:rPr>
        <w:t>，"完整证据召回高于基线"这一半在该层</w:t>
      </w:r>
      <w:r>
        <w:rPr>
          <w:rFonts w:ascii="Times New Roman" w:hAnsi="Times New Roman" w:eastAsia="宋体" w:cs="Times New Roman"/>
          <w:b/>
        </w:rPr>
        <w:t>在任何子集上都不成立</w:t>
      </w:r>
      <w:r>
        <w:rPr>
          <w:rFonts w:ascii="Times New Roman" w:hAnsi="Times New Roman" w:eastAsia="宋体" w:cs="Times New Roman"/>
        </w:rPr>
        <w:t>；正式 120 题集上，同一半在核心 108 题与三个子集上</w:t>
      </w:r>
      <w:r>
        <w:rPr>
          <w:rFonts w:ascii="Times New Roman" w:hAnsi="Times New Roman" w:eastAsia="宋体" w:cs="Times New Roman"/>
          <w:b/>
        </w:rPr>
        <w:t>全部成立</w:t>
      </w:r>
      <w:r>
        <w:rPr>
          <w:rFonts w:ascii="Times New Roman" w:hAnsi="Times New Roman" w:eastAsia="宋体" w:cs="Times New Roman"/>
        </w:rPr>
        <w:t>。</w:t>
      </w:r>
      <w:r>
        <w:rPr>
          <w:rFonts w:ascii="Times New Roman" w:hAnsi="Times New Roman" w:eastAsia="宋体" w:cs="Times New Roman"/>
          <w:b/>
        </w:rPr>
        <w:t>问答质量一侧同样两轮方向相反</w:t>
      </w:r>
      <w:r>
        <w:rPr>
          <w:rFonts w:ascii="Times New Roman" w:hAnsi="Times New Roman" w:eastAsia="宋体" w:cs="Times New Roman"/>
        </w:rPr>
        <w:t>：预实验集上 A 组 Answer Accuracy 1.6778 高于 C 组 1.6667（三模型综合口径；历史两模型口径下为 1.7333 对 1.7000，方向一致），正式集上则是 C 组 1.8091 高于 A 组 1.6637（历史两模型口径下为 1.8120 对 1.6903，方向一致）、A 组为五组最低。两处方向</w:t>
      </w:r>
      <w:r>
        <w:rPr>
          <w:rFonts w:ascii="Times New Roman" w:hAnsi="Times New Roman" w:eastAsia="宋体" w:cs="Times New Roman"/>
          <w:b/>
        </w:rPr>
        <w:t>相反</w:t>
      </w:r>
      <w:r>
        <w:rPr>
          <w:rFonts w:ascii="Times New Roman" w:hAnsi="Times New Roman" w:eastAsia="宋体" w:cs="Times New Roman"/>
        </w:rPr>
        <w:t>但</w:t>
      </w:r>
      <w:r>
        <w:rPr>
          <w:rFonts w:ascii="Times New Roman" w:hAnsi="Times New Roman" w:eastAsia="宋体" w:cs="Times New Roman"/>
          <w:b/>
        </w:rPr>
        <w:t>不是口径改变</w:t>
      </w:r>
      <w:r>
        <w:rPr>
          <w:rFonts w:ascii="Times New Roman" w:hAnsi="Times New Roman" w:eastAsia="宋体" w:cs="Times New Roman"/>
        </w:rPr>
        <w:t>，而是题集与样本量不同（A 组 Complete Evidence Recall@K 预实验集 0.566667、正式集 0.715686），两套读数</w:t>
      </w:r>
      <w:r>
        <w:rPr>
          <w:rFonts w:ascii="Times New Roman" w:hAnsi="Times New Roman" w:eastAsia="宋体" w:cs="Times New Roman"/>
          <w:b/>
        </w:rPr>
        <w:t>并存、不可混引</w:t>
      </w:r>
      <w:r>
        <w:rPr>
          <w:rFonts w:ascii="Times New Roman" w:hAnsi="Times New Roman" w:eastAsia="宋体" w:cs="Times New Roman"/>
        </w:rPr>
        <w:t>（</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6.7.6 与 6.8.2 节）。该差异可由样本量定量解释：核心集该对比在 n=30 时的最小可检测效应量为 0.1633、约为观测 Δ=0.0891 的 1.8 倍，对应功效仅 33.3%；n=101 时功效约 80.1%，若需 90% 功效约需 135 题。故 30 题预实验集的持平是该规模下的预期结果，而非异常。</w:t>
      </w:r>
    </w:p>
    <w:p>
      <w:pPr>
        <w:pStyle w:val="正文段落"/>
      </w:pPr>
      <w:r>
        <w:rPr>
          <w:rFonts w:ascii="Times New Roman" w:hAnsi="Times New Roman" w:eastAsia="宋体" w:cs="Times New Roman"/>
        </w:rPr>
        <w:t>第四，</w:t>
      </w:r>
      <w:r>
        <w:rPr>
          <w:rFonts w:ascii="Times New Roman" w:hAnsi="Times New Roman" w:eastAsia="宋体" w:cs="Times New Roman"/>
          <w:b/>
        </w:rPr>
        <w:t>抽取评测在两个对照物下都偏低，且成因与对照物绑定</w:t>
      </w:r>
      <w:r>
        <w:rPr>
          <w:rFonts w:ascii="Times New Roman" w:hAnsi="Times New Roman" w:eastAsia="宋体" w:cs="Times New Roman"/>
        </w:rPr>
        <w:t xml:space="preserve">。金标准（三模型综合）口径下，事件 F1 为 </w:t>
      </w:r>
      <w:r>
        <w:rPr>
          <w:rFonts w:ascii="Times New Roman" w:hAnsi="Times New Roman" w:eastAsia="宋体" w:cs="Times New Roman"/>
          <w:b/>
        </w:rPr>
        <w:t>0.1387</w:t>
      </w:r>
      <w:r>
        <w:rPr>
          <w:rFonts w:ascii="Times New Roman" w:hAnsi="Times New Roman" w:eastAsia="宋体" w:cs="Times New Roman"/>
        </w:rPr>
        <w:t xml:space="preserve">、关系 F1 为 </w:t>
      </w:r>
      <w:r>
        <w:rPr>
          <w:rFonts w:ascii="Times New Roman" w:hAnsi="Times New Roman" w:eastAsia="宋体" w:cs="Times New Roman"/>
          <w:b/>
        </w:rPr>
        <w:t>0.0783</w:t>
      </w:r>
      <w:r>
        <w:rPr>
          <w:rFonts w:ascii="Times New Roman" w:hAnsi="Times New Roman" w:eastAsia="宋体" w:cs="Times New Roman"/>
        </w:rPr>
        <w:t xml:space="preserve">；放宽到"同一证据段上抽出了同类型事实"后，两者升到 </w:t>
      </w:r>
      <w:r>
        <w:rPr>
          <w:rFonts w:ascii="Times New Roman" w:hAnsi="Times New Roman" w:eastAsia="宋体" w:cs="Times New Roman"/>
          <w:b/>
        </w:rPr>
        <w:t>0.2428</w:t>
      </w:r>
      <w:r>
        <w:rPr>
          <w:rFonts w:ascii="Times New Roman" w:hAnsi="Times New Roman" w:eastAsia="宋体" w:cs="Times New Roman"/>
        </w:rPr>
        <w:t xml:space="preserve"> 与 </w:t>
      </w:r>
      <w:r>
        <w:rPr>
          <w:rFonts w:ascii="Times New Roman" w:hAnsi="Times New Roman" w:eastAsia="宋体" w:cs="Times New Roman"/>
          <w:b/>
        </w:rPr>
        <w:t>0.4269</w:t>
      </w:r>
      <w:r>
        <w:rPr>
          <w:rFonts w:ascii="Times New Roman" w:hAnsi="Times New Roman" w:eastAsia="宋体" w:cs="Times New Roman"/>
        </w:rPr>
        <w:t xml:space="preserve">。作为对照的单模型参照集口径下，四个读数分别为事件 </w:t>
      </w:r>
      <w:r>
        <w:rPr>
          <w:rFonts w:ascii="Times New Roman" w:hAnsi="Times New Roman" w:eastAsia="宋体" w:cs="Times New Roman"/>
          <w:b/>
        </w:rPr>
        <w:t>0.0972</w:t>
      </w:r>
      <w:r>
        <w:rPr>
          <w:rFonts w:ascii="Times New Roman" w:hAnsi="Times New Roman" w:eastAsia="宋体" w:cs="Times New Roman"/>
        </w:rPr>
        <w:t xml:space="preserve">／关系 </w:t>
      </w:r>
      <w:r>
        <w:rPr>
          <w:rFonts w:ascii="Times New Roman" w:hAnsi="Times New Roman" w:eastAsia="宋体" w:cs="Times New Roman"/>
          <w:b/>
        </w:rPr>
        <w:t>0.1202</w:t>
      </w:r>
      <w:r>
        <w:rPr>
          <w:rFonts w:ascii="Times New Roman" w:hAnsi="Times New Roman" w:eastAsia="宋体" w:cs="Times New Roman"/>
        </w:rPr>
        <w:t>（放宽口径 0.4348／0.4439）——</w:t>
      </w:r>
      <w:r>
        <w:rPr>
          <w:rFonts w:ascii="Times New Roman" w:hAnsi="Times New Roman" w:eastAsia="宋体" w:cs="Times New Roman"/>
          <w:b/>
        </w:rPr>
        <w:t>事件召回率由 0.0712 升至 0.2449</w:t>
      </w:r>
      <w:r>
        <w:rPr>
          <w:rFonts w:ascii="Times New Roman" w:hAnsi="Times New Roman" w:eastAsia="宋体" w:cs="Times New Roman"/>
        </w:rPr>
        <w:t>，印证单模型参照集偏紧、以漏标为主。两套读数的判据与聚合方式逐字一致，差异只来自对照物，</w:t>
      </w:r>
      <w:r>
        <w:rPr>
          <w:rFonts w:ascii="Times New Roman" w:hAnsi="Times New Roman" w:eastAsia="宋体" w:cs="Times New Roman"/>
          <w:b/>
        </w:rPr>
        <w:t>两个口径均须列出，缺一不可</w:t>
      </w:r>
      <w:r>
        <w:rPr>
          <w:rFonts w:ascii="Times New Roman" w:hAnsi="Times New Roman" w:eastAsia="宋体" w:cs="Times New Roman"/>
        </w:rPr>
        <w:t>（</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第三节读法段与第八节判据敏感性表）。抽取评测集的交付槽位</w:t>
      </w:r>
      <w:r>
        <w:rPr>
          <w:rFonts w:ascii="Times New Roman" w:hAnsi="Times New Roman" w:eastAsia="宋体" w:cs="Times New Roman"/>
          <w:b/>
        </w:rPr>
        <w:t>仍然全部为空、本次没有做任何代填</w:t>
      </w:r>
      <w:r>
        <w:rPr>
          <w:rFonts w:ascii="Times New Roman" w:hAnsi="Times New Roman" w:eastAsia="宋体" w:cs="Times New Roman"/>
        </w:rPr>
        <w:t>，冻结契约继续有效（</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7.6 节）。</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节），它</w:t>
      </w:r>
      <w:r>
        <w:rPr>
          <w:rFonts w:ascii="Times New Roman" w:hAnsi="Times New Roman" w:eastAsia="宋体" w:cs="Times New Roman"/>
          <w:b/>
        </w:rPr>
        <w:t>不再是待办、缺口或未完成项</w:t>
      </w:r>
      <w:r>
        <w:rPr>
          <w:rFonts w:ascii="Times New Roman" w:hAnsi="Times New Roman" w:eastAsia="宋体" w:cs="Times New Roman"/>
        </w:rPr>
        <w:t>。</w:t>
      </w:r>
      <w:r>
        <w:rPr>
          <w:rFonts w:ascii="Times New Roman" w:hAnsi="Times New Roman" w:eastAsia="宋体" w:cs="Times New Roman"/>
          <w:b/>
        </w:rPr>
        <w:t>本条的读数与口径限定一字未变</w:t>
      </w:r>
      <w:r>
        <w:rPr>
          <w:rFonts w:ascii="Times New Roman" w:hAnsi="Times New Roman" w:eastAsia="宋体" w:cs="Times New Roman"/>
        </w:rPr>
        <w:t>：两个口径都报、不得只报宽松的那个。</w:t>
      </w:r>
    </w:p>
    <w:p>
      <w:pPr>
        <w:pStyle w:val="正文段落"/>
      </w:pPr>
      <w:r>
        <w:rPr>
          <w:rFonts w:ascii="Times New Roman" w:hAnsi="Times New Roman" w:eastAsia="宋体" w:cs="Times New Roman"/>
        </w:rPr>
        <w:t>第五，</w:t>
      </w:r>
      <w:r>
        <w:rPr>
          <w:rFonts w:ascii="Times New Roman" w:hAnsi="Times New Roman" w:eastAsia="宋体" w:cs="Times New Roman"/>
          <w:b/>
        </w:rPr>
        <w:t>语料规模与抽样方式限制了结论的外推能力</w:t>
      </w:r>
      <w:r>
        <w:rPr>
          <w:rFonts w:ascii="Times New Roman" w:hAnsi="Times New Roman" w:eastAsia="宋体" w:cs="Times New Roman"/>
        </w:rPr>
        <w:t xml:space="preserve">。语料为 </w:t>
      </w:r>
      <w:r>
        <w:rPr>
          <w:rFonts w:ascii="Times New Roman" w:hAnsi="Times New Roman" w:eastAsia="宋体" w:cs="Times New Roman"/>
          <w:b/>
        </w:rPr>
        <w:t>709 篇文档、时间覆盖 100 天</w:t>
      </w:r>
      <w:r>
        <w:rPr>
          <w:rFonts w:ascii="Times New Roman" w:hAnsi="Times New Roman" w:eastAsia="宋体" w:cs="Times New Roman"/>
        </w:rPr>
        <w:t>（2026-06-17 至 2026-09-25），公司与行业不是随机抽样，而是按事件类型优先定向补样，因此结论只适用于"本数据集＋本实验配置"，不能外推为一般性结论（</w:t>
      </w:r>
      <w:r>
        <w:rPr>
          <w:rFonts w:ascii="Consolas" w:hAnsi="Consolas" w:eastAsia="宋体" w:cs="Consolas"/>
        </w:rPr>
        <w:t>交付物/01-论文\_分章源文件\05-第五章-系统实现.md</w:t>
      </w:r>
      <w:r>
        <w:rPr>
          <w:rFonts w:ascii="Times New Roman" w:hAnsi="Times New Roman" w:eastAsia="宋体" w:cs="Times New Roman"/>
        </w:rPr>
        <w:t xml:space="preserve"> 第 5.1 节）。</w:t>
      </w:r>
    </w:p>
    <w:p>
      <w:pPr>
        <w:pStyle w:val="正文段落"/>
      </w:pPr>
      <w:r>
        <w:rPr>
          <w:rFonts w:ascii="Times New Roman" w:hAnsi="Times New Roman" w:eastAsia="宋体" w:cs="Times New Roman"/>
        </w:rPr>
        <w:t>第六，</w:t>
      </w:r>
      <w:r>
        <w:rPr>
          <w:rFonts w:ascii="Times New Roman" w:hAnsi="Times New Roman" w:eastAsia="宋体" w:cs="Times New Roman"/>
          <w:b/>
        </w:rPr>
        <w:t>事件时间为空的比例接近一半</w:t>
      </w:r>
      <w:r>
        <w:rPr>
          <w:rFonts w:ascii="Times New Roman" w:hAnsi="Times New Roman" w:eastAsia="宋体" w:cs="Times New Roman"/>
        </w:rPr>
        <w:t xml:space="preserve">。图谱侧事件时间的空值为 </w:t>
      </w:r>
      <w:r>
        <w:rPr>
          <w:rFonts w:ascii="Times New Roman" w:hAnsi="Times New Roman" w:eastAsia="宋体" w:cs="Times New Roman"/>
          <w:b/>
        </w:rPr>
        <w:t>544 个（占比约 49.5%）</w:t>
      </w:r>
      <w:r>
        <w:rPr>
          <w:rFonts w:ascii="Times New Roman" w:hAnsi="Times New Roman" w:eastAsia="宋体" w:cs="Times New Roman"/>
        </w:rPr>
        <w:t>，这限制了时序型题目的可出题量，也是 D 组召回下降的直接来源之一；空值按既定策略在时间过滤中一并剔除，理由是"无法判定是否落在窗口内的成员不得视为通过过滤"。</w:t>
      </w:r>
    </w:p>
    <w:p>
      <w:pPr>
        <w:pStyle w:val="正文段落"/>
      </w:pPr>
      <w:r>
        <w:rPr>
          <w:rFonts w:ascii="Times New Roman" w:hAnsi="Times New Roman" w:eastAsia="宋体" w:cs="Times New Roman"/>
        </w:rPr>
        <w:t>第七，</w:t>
      </w:r>
      <w:r>
        <w:rPr>
          <w:rFonts w:ascii="Times New Roman" w:hAnsi="Times New Roman" w:eastAsia="宋体" w:cs="Times New Roman"/>
          <w:b/>
        </w:rPr>
        <w:t>图谱交付口径放宽实体入图策略带来的代价与收益同等重要</w:t>
      </w:r>
      <w:r>
        <w:rPr>
          <w:rFonts w:ascii="Times New Roman" w:hAnsi="Times New Roman" w:eastAsia="宋体" w:cs="Times New Roman"/>
        </w:rPr>
        <w:t>。832 个节点没有股票代码锚、813 条边至少一端是这类节点，由此引入"同一实体不同书写面分裂"与"不同主体同名合并"两类风险，本文在报告收益的同一处声明了这处代价（</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9.5 节的代价段）。</w:t>
      </w:r>
    </w:p>
    <w:p>
      <w:pPr>
        <w:pStyle w:val="正文段落"/>
      </w:pPr>
      <w:r>
        <w:rPr>
          <w:rFonts w:ascii="Times New Roman" w:hAnsi="Times New Roman" w:eastAsia="宋体" w:cs="Times New Roman"/>
        </w:rPr>
        <w:t>第八，</w:t>
      </w:r>
      <w:r>
        <w:rPr>
          <w:rFonts w:ascii="Times New Roman" w:hAnsi="Times New Roman" w:eastAsia="宋体" w:cs="Times New Roman"/>
          <w:b/>
        </w:rPr>
        <w:t>全部评测都是模型口径，不是非模型口径</w:t>
      </w:r>
      <w:r>
        <w:rPr>
          <w:rFonts w:ascii="Times New Roman" w:hAnsi="Times New Roman" w:eastAsia="宋体" w:cs="Times New Roman"/>
        </w:rPr>
        <w:t>。抽取评测以三模型共识为金标准、问答评分以三模型独立评分为金标准，两者</w:t>
      </w:r>
      <w:r>
        <w:rPr>
          <w:rFonts w:ascii="Times New Roman" w:hAnsi="Times New Roman" w:eastAsia="宋体" w:cs="Times New Roman"/>
          <w:b/>
        </w:rPr>
        <w:t>都不是非模型口径</w:t>
      </w:r>
      <w:r>
        <w:rPr>
          <w:rFonts w:ascii="Times New Roman" w:hAnsi="Times New Roman" w:eastAsia="宋体" w:cs="Times New Roman"/>
        </w:rPr>
        <w:t>：金标准各条目仍由模型给出、未逐条复核，本文</w:t>
      </w:r>
      <w:r>
        <w:rPr>
          <w:rFonts w:ascii="Times New Roman" w:hAnsi="Times New Roman" w:eastAsia="宋体" w:cs="Times New Roman"/>
          <w:b/>
        </w:rPr>
        <w:t>不存在人工标注这一步</w:t>
      </w:r>
      <w:r>
        <w:rPr>
          <w:rFonts w:ascii="Times New Roman" w:hAnsi="Times New Roman" w:eastAsia="宋体" w:cs="Times New Roman"/>
        </w:rPr>
        <w:t>，因此所有读数</w:t>
      </w:r>
      <w:r>
        <w:rPr>
          <w:rFonts w:ascii="Times New Roman" w:hAnsi="Times New Roman" w:eastAsia="宋体" w:cs="Times New Roman"/>
          <w:b/>
        </w:rPr>
        <w:t>不得读作"准确率"</w:t>
      </w:r>
      <w:r>
        <w:rPr>
          <w:rFonts w:ascii="Times New Roman" w:hAnsi="Times New Roman" w:eastAsia="宋体" w:cs="Times New Roman"/>
        </w:rPr>
        <w:t>；三模型一致率只说明各家模型在这批样本上的判断是否相同，</w:t>
      </w:r>
      <w:r>
        <w:rPr>
          <w:rFonts w:ascii="Times New Roman" w:hAnsi="Times New Roman" w:eastAsia="宋体" w:cs="Times New Roman"/>
          <w:b/>
        </w:rPr>
        <w:t>不构成评分信度证据</w:t>
      </w:r>
      <w:r>
        <w:rPr>
          <w:rFonts w:ascii="Times New Roman" w:hAnsi="Times New Roman" w:eastAsia="宋体" w:cs="Times New Roman"/>
        </w:rPr>
        <w:t>；本课题</w:t>
      </w:r>
      <w:r>
        <w:rPr>
          <w:rFonts w:ascii="Times New Roman" w:hAnsi="Times New Roman" w:eastAsia="宋体" w:cs="Times New Roman"/>
          <w:b/>
        </w:rPr>
        <w:t>没有非模型对照物可用</w:t>
      </w:r>
      <w:r>
        <w:rPr>
          <w:rFonts w:ascii="Times New Roman" w:hAnsi="Times New Roman" w:eastAsia="宋体" w:cs="Times New Roman"/>
        </w:rPr>
        <w:t>，本文任何位置都不把模型口径误写成非模型口径。</w:t>
      </w:r>
    </w:p>
    <w:p>
      <w:pPr>
        <w:pStyle w:val="正文段落"/>
      </w:pPr>
      <w:r>
        <w:rPr>
          <w:rFonts w:ascii="Times New Roman" w:hAnsi="Times New Roman" w:eastAsia="宋体" w:cs="Times New Roman"/>
        </w:rPr>
        <w:t>第九，</w:t>
      </w:r>
      <w:r>
        <w:rPr>
          <w:rFonts w:ascii="Times New Roman" w:hAnsi="Times New Roman" w:eastAsia="宋体" w:cs="Times New Roman"/>
          <w:b/>
        </w:rPr>
        <w:t>两处已登记的边界与工程限制，以及一处已解除的限制</w:t>
      </w:r>
      <w:r>
        <w:rPr>
          <w:rFonts w:ascii="Times New Roman" w:hAnsi="Times New Roman" w:eastAsia="宋体" w:cs="Times New Roman"/>
        </w:rPr>
        <w:t>。其一，系统页面上为演示需要实现的"实时数据区"是演示增强组件，不进任何实验组、不进证据链、不计入任何指标，本课题</w:t>
      </w:r>
      <w:r>
        <w:rPr>
          <w:rFonts w:ascii="Times New Roman" w:hAnsi="Times New Roman" w:eastAsia="宋体" w:cs="Times New Roman"/>
          <w:b/>
        </w:rPr>
        <w:t>没有</w:t>
      </w:r>
      <w:r>
        <w:rPr>
          <w:rFonts w:ascii="Times New Roman" w:hAnsi="Times New Roman" w:eastAsia="宋体" w:cs="Times New Roman"/>
        </w:rPr>
        <w:t>接入实时行情；其二，性能测试的"其余部分"耗时是一个</w:t>
      </w:r>
      <w:r>
        <w:rPr>
          <w:rFonts w:ascii="Times New Roman" w:hAnsi="Times New Roman" w:eastAsia="宋体" w:cs="Times New Roman"/>
          <w:b/>
        </w:rPr>
        <w:t>派生量、非纯检索分段</w:t>
      </w:r>
      <w:r>
        <w:rPr>
          <w:rFonts w:ascii="Times New Roman" w:hAnsi="Times New Roman" w:eastAsia="宋体" w:cs="Times New Roman"/>
        </w:rPr>
        <w:t>（</w:t>
      </w:r>
      <w:r>
        <w:rPr>
          <w:rFonts w:ascii="Consolas" w:hAnsi="Consolas" w:eastAsia="宋体" w:cs="Consolas"/>
        </w:rPr>
        <w:t>交付物/06-实验与评测\系统指标\NFR_readings.md</w:t>
      </w:r>
      <w:r>
        <w:rPr>
          <w:rFonts w:ascii="Times New Roman" w:hAnsi="Times New Roman" w:eastAsia="宋体" w:cs="Times New Roman"/>
        </w:rPr>
        <w:t xml:space="preserve"> 第一节的已知限制段）。原先登记的"前端验收只有接口级冒烟加作者目视、界面行为没有机器可复现的留痕"这条限制</w:t>
      </w:r>
      <w:r>
        <w:rPr>
          <w:rFonts w:ascii="Times New Roman" w:hAnsi="Times New Roman" w:eastAsia="宋体" w:cs="Times New Roman"/>
          <w:b/>
        </w:rPr>
        <w:t>已经解除</w:t>
      </w:r>
      <w:r>
        <w:rPr>
          <w:rFonts w:ascii="Times New Roman" w:hAnsi="Times New Roman" w:eastAsia="宋体" w:cs="Times New Roman"/>
        </w:rPr>
        <w:t xml:space="preserve">：开发后期补建了基于 Playwright 的浏览器走查装置（七个任务 T1～T7、逐步骤截屏与可见文本快照、控制台与网络错误清单），并在体验优化前后各完整执行一遍，形成可对照的两组读数（落点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）；仍未覆盖的是 Firefox／Safari 与真机移动端，小屏适配为 390 × 844 视口模拟。</w:t>
      </w:r>
    </w:p>
    <w:p>
      <w:pPr>
        <w:pStyle w:val="正文段落"/>
      </w:pPr>
      <w:r>
        <w:rPr>
          <w:rFonts w:ascii="Times New Roman" w:hAnsi="Times New Roman" w:eastAsia="宋体" w:cs="Times New Roman"/>
        </w:rPr>
        <w:t>第十，</w:t>
      </w:r>
      <w:r>
        <w:rPr>
          <w:rFonts w:ascii="Times New Roman" w:hAnsi="Times New Roman" w:eastAsia="宋体" w:cs="Times New Roman"/>
          <w:b/>
        </w:rPr>
        <w:t>文献依据的结构性不足</w:t>
      </w:r>
      <w:r>
        <w:rPr>
          <w:rFonts w:ascii="Times New Roman" w:hAnsi="Times New Roman" w:eastAsia="宋体" w:cs="Times New Roman"/>
        </w:rPr>
        <w:t>。文献依据是一个 22 篇的精选文献库（英文奠基文献 6 篇、国内进展文献 16 篇）；知识图谱方向的 8 篇均为"图谱构建与抽取"线，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知识图谱嵌入与表示学习的文献，因此本文不把嵌入学习方法作为文献依据。上述不足已在第1章 1.3 节逐项声明，本章再次登记。</w:t>
      </w:r>
    </w:p>
    <w:p>
      <w:pPr>
        <w:pStyle w:val="正文段落"/>
      </w:pPr>
      <w:r>
        <w:rPr>
          <w:rFonts w:ascii="Times New Roman" w:hAnsi="Times New Roman" w:eastAsia="宋体" w:cs="Times New Roman"/>
          <w:b/>
        </w:rPr>
        <w:t>四、展望。</w:t>
      </w:r>
    </w:p>
    <w:p>
      <w:pPr>
        <w:pStyle w:val="正文段落"/>
      </w:pPr>
      <w:r>
        <w:rPr>
          <w:rFonts w:ascii="Times New Roman" w:hAnsi="Times New Roman" w:eastAsia="宋体" w:cs="Times New Roman"/>
        </w:rPr>
        <w:t>后续工作可以从五个方向推进；原有的首个方向（补做正式集问答质量评分、完成《02》第12.8节 的判定）</w:t>
      </w:r>
      <w:r>
        <w:rPr>
          <w:rFonts w:ascii="Times New Roman" w:hAnsi="Times New Roman" w:eastAsia="宋体" w:cs="Times New Roman"/>
          <w:b/>
        </w:rPr>
        <w:t>已经完成</w:t>
      </w:r>
      <w:r>
        <w:rPr>
          <w:rFonts w:ascii="Times New Roman" w:hAnsi="Times New Roman" w:eastAsia="宋体" w:cs="Times New Roman"/>
        </w:rPr>
        <w:t>（见第二部分 RQ2／H1 与第三部分第一条的登记），故换为"把本次评分做成可复现的复评"这一条，它同样决定其余方向的结论强度。</w:t>
      </w:r>
    </w:p>
    <w:p>
      <w:pPr>
        <w:pStyle w:val="正文段落"/>
      </w:pPr>
      <w:r>
        <w:rPr>
          <w:rFonts w:ascii="Times New Roman" w:hAnsi="Times New Roman" w:eastAsia="宋体" w:cs="Times New Roman"/>
        </w:rPr>
        <w:t>第一，</w:t>
      </w:r>
      <w:r>
        <w:rPr>
          <w:rFonts w:ascii="Times New Roman" w:hAnsi="Times New Roman" w:eastAsia="宋体" w:cs="Times New Roman"/>
          <w:b/>
        </w:rPr>
        <w:t>扩大评测的样本与 judge 覆盖面，把本次的单次评分做成可复现的复评</w:t>
      </w:r>
      <w:r>
        <w:rPr>
          <w:rFonts w:ascii="Times New Roman" w:hAnsi="Times New Roman" w:eastAsia="宋体" w:cs="Times New Roman"/>
        </w:rPr>
        <w:t>：正式集评分本次已完成，但每条只由一个 judge 评一次、副 judge 只覆盖 20% 样本，且主 judge 因端点拒收温度 0 而带有采样随机性；后续可在同一量表与同一 prompt 版本下对同一批答案重跑、并把 judge 覆盖面提到全样本，报告两次读数之间的差异，使这批 0／1／2 分成为</w:t>
      </w:r>
      <w:r>
        <w:rPr>
          <w:rFonts w:ascii="Times New Roman" w:hAnsi="Times New Roman" w:eastAsia="宋体" w:cs="Times New Roman"/>
          <w:b/>
        </w:rPr>
        <w:t>可复现量</w:t>
      </w:r>
      <w:r>
        <w:rPr>
          <w:rFonts w:ascii="Times New Roman" w:hAnsi="Times New Roman" w:eastAsia="宋体" w:cs="Times New Roman"/>
        </w:rPr>
        <w:t>而不是一次性读数（</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第九节已知限制第 6 条）。</w:t>
      </w:r>
    </w:p>
    <w:p>
      <w:pPr>
        <w:pStyle w:val="正文段落"/>
      </w:pPr>
      <w:r>
        <w:rPr>
          <w:rFonts w:ascii="Times New Roman" w:hAnsi="Times New Roman" w:eastAsia="宋体" w:cs="Times New Roman"/>
        </w:rPr>
        <w:t>第二，</w:t>
      </w:r>
      <w:r>
        <w:rPr>
          <w:rFonts w:ascii="Times New Roman" w:hAnsi="Times New Roman" w:eastAsia="宋体" w:cs="Times New Roman"/>
          <w:b/>
        </w:rPr>
        <w:t>把出题主体扩到配置名单之外，重测结论是否仍然成立</w:t>
      </w:r>
      <w:r>
        <w:rPr>
          <w:rFonts w:ascii="Times New Roman" w:hAnsi="Times New Roman" w:eastAsia="宋体" w:cs="Times New Roman"/>
        </w:rPr>
        <w:t>：干预实验的解释是"图谱的增量部分与题目所处的主体集合不相交"，题目改以名单外主体为中心时结论</w:t>
      </w:r>
      <w:r>
        <w:rPr>
          <w:rFonts w:ascii="Times New Roman" w:hAnsi="Times New Roman" w:eastAsia="宋体" w:cs="Times New Roman"/>
          <w:b/>
        </w:rPr>
        <w:t>可能不同</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提高抽取质量，从命名口径与本体落地两处入手</w:t>
      </w:r>
      <w:r>
        <w:rPr>
          <w:rFonts w:ascii="Times New Roman" w:hAnsi="Times New Roman" w:eastAsia="宋体" w:cs="Times New Roman"/>
        </w:rPr>
        <w:t>：命名口径上可对事件名引入受控模板、对关系端点施加实体身份约束，其效果必须用</w:t>
      </w:r>
      <w:r>
        <w:rPr>
          <w:rFonts w:ascii="Times New Roman" w:hAnsi="Times New Roman" w:eastAsia="宋体" w:cs="Times New Roman"/>
          <w:b/>
        </w:rPr>
        <w:t>两套口径同时报告</w:t>
      </w:r>
      <w:r>
        <w:rPr>
          <w:rFonts w:ascii="Times New Roman" w:hAnsi="Times New Roman" w:eastAsia="宋体" w:cs="Times New Roman"/>
        </w:rPr>
        <w:t>来验证；本体落地上补齐未落地的属性列，并把事件时间的非空率作为扩规模的首要目标。</w:t>
      </w:r>
    </w:p>
    <w:p>
      <w:pPr>
        <w:pStyle w:val="正文段落"/>
      </w:pPr>
      <w:r>
        <w:rPr>
          <w:rFonts w:ascii="Times New Roman" w:hAnsi="Times New Roman" w:eastAsia="宋体" w:cs="Times New Roman"/>
        </w:rPr>
        <w:t>第四，</w:t>
      </w:r>
      <w:r>
        <w:rPr>
          <w:rFonts w:ascii="Times New Roman" w:hAnsi="Times New Roman" w:eastAsia="宋体" w:cs="Times New Roman"/>
          <w:b/>
        </w:rPr>
        <w:t>改进实体消歧与检索排序</w:t>
      </w:r>
      <w:r>
        <w:rPr>
          <w:rFonts w:ascii="Times New Roman" w:hAnsi="Times New Roman" w:eastAsia="宋体" w:cs="Times New Roman"/>
        </w:rPr>
        <w:t xml:space="preserve">：公司提及消歧率为 </w:t>
      </w:r>
      <w:r>
        <w:rPr>
          <w:rFonts w:ascii="Times New Roman" w:hAnsi="Times New Roman" w:eastAsia="宋体" w:cs="Times New Roman"/>
          <w:b/>
        </w:rPr>
        <w:t>43.0%</w:t>
      </w:r>
      <w:r>
        <w:rPr>
          <w:rFonts w:ascii="Times New Roman" w:hAnsi="Times New Roman" w:eastAsia="宋体" w:cs="Times New Roman"/>
        </w:rPr>
        <w:t>（785／1825），此处</w:t>
      </w:r>
      <w:r>
        <w:rPr>
          <w:rFonts w:ascii="Times New Roman" w:hAnsi="Times New Roman" w:eastAsia="宋体" w:cs="Times New Roman"/>
          <w:b/>
        </w:rPr>
        <w:t>逐字沿用第5章 5.3 节的实测口径</w:t>
      </w:r>
      <w:r>
        <w:rPr>
          <w:rFonts w:ascii="Times New Roman" w:hAnsi="Times New Roman" w:eastAsia="宋体" w:cs="Times New Roman"/>
        </w:rPr>
        <w:t>，另有第五阶段交付口径下 41.4%（755／1825）的第二个口径，两处</w:t>
      </w:r>
      <w:r>
        <w:rPr>
          <w:rFonts w:ascii="Times New Roman" w:hAnsi="Times New Roman" w:eastAsia="宋体" w:cs="Times New Roman"/>
          <w:b/>
        </w:rPr>
        <w:t>并存、引用时必须写明口径</w:t>
      </w:r>
      <w:r>
        <w:rPr>
          <w:rFonts w:ascii="Times New Roman" w:hAnsi="Times New Roman" w:eastAsia="宋体" w:cs="Times New Roman"/>
        </w:rPr>
        <w:t>；但</w:t>
      </w:r>
      <w:r>
        <w:rPr>
          <w:rFonts w:ascii="Times New Roman" w:hAnsi="Times New Roman" w:eastAsia="宋体" w:cs="Times New Roman"/>
          <w:b/>
        </w:rPr>
        <w:t>消歧率上升本身不是目的</w:t>
      </w:r>
      <w:r>
        <w:rPr>
          <w:rFonts w:ascii="Times New Roman" w:hAnsi="Times New Roman" w:eastAsia="宋体" w:cs="Times New Roman"/>
        </w:rPr>
        <w:t>，任何改进都必须同时报告假分裂与假合并两类风险的变化。检索侧可在"同一证据集合、只改排序"的纪律下比较不同的排序策略，并把现行 E 组的 MRR 读数作为必须超过的下限。</w:t>
      </w:r>
    </w:p>
    <w:p>
      <w:pPr>
        <w:pStyle w:val="正文段落"/>
      </w:pPr>
      <w:r>
        <w:rPr>
          <w:rFonts w:ascii="Times New Roman" w:hAnsi="Times New Roman" w:eastAsia="宋体" w:cs="Times New Roman"/>
        </w:rPr>
        <w:t>第五，</w:t>
      </w:r>
      <w:r>
        <w:rPr>
          <w:rFonts w:ascii="Times New Roman" w:hAnsi="Times New Roman" w:eastAsia="宋体" w:cs="Times New Roman"/>
          <w:b/>
        </w:rPr>
        <w:t>把评测口径从模型口径推进到非模型口径或人机结合口径</w:t>
      </w:r>
      <w:r>
        <w:rPr>
          <w:rFonts w:ascii="Times New Roman" w:hAnsi="Times New Roman" w:eastAsia="宋体" w:cs="Times New Roman"/>
        </w:rPr>
        <w:t>：本文的抽取评测与问答评分都</w:t>
      </w:r>
      <w:r>
        <w:rPr>
          <w:rFonts w:ascii="Times New Roman" w:hAnsi="Times New Roman" w:eastAsia="宋体" w:cs="Times New Roman"/>
          <w:b/>
        </w:rPr>
        <w:t>不是非模型口径</w:t>
      </w:r>
      <w:r>
        <w:rPr>
          <w:rFonts w:ascii="Times New Roman" w:hAnsi="Times New Roman" w:eastAsia="宋体" w:cs="Times New Roman"/>
        </w:rPr>
        <w:t>，两种口径下都</w:t>
      </w:r>
      <w:r>
        <w:rPr>
          <w:rFonts w:ascii="Times New Roman" w:hAnsi="Times New Roman" w:eastAsia="宋体" w:cs="Times New Roman"/>
          <w:b/>
        </w:rPr>
        <w:t>没有以人为对照物的读数</w:t>
      </w:r>
      <w:r>
        <w:rPr>
          <w:rFonts w:ascii="Times New Roman" w:hAnsi="Times New Roman" w:eastAsia="宋体" w:cs="Times New Roman"/>
        </w:rPr>
        <w:t>可用；后续可在资源允许时补充非模型抽检或非模型评分，并把非模型口径与模型口径的差异作为一项独立的分析对象。</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徐文莉老师。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人工智能学院软件工程专业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rPr>
        <w:t>王锦灿</w:t>
      </w:r>
    </w:p>
    <w:p>
      <w:pPr>
        <w:pStyle w:val="正文段落"/>
      </w:pPr>
      <w:r>
        <w:rPr>
          <w:rFonts w:ascii="Times New Roman" w:hAnsi="Times New Roman" w:eastAsia="宋体" w:cs="Times New Roman"/>
        </w:rPr>
        <w:t>2027 年 5 月</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 Id="rId28" Type="http://schemas.openxmlformats.org/officeDocument/2006/relationships/header" Target="header1.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