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32"/>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26 条业务路径（28 个业务操作），OpenAPI 契约快照共 31 条路径、34 个操作（另含 4 条实时演示路径与 1 条健康探针路径）；性能测试中，问答端到端耗时在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w:t>
      </w:r>
    </w:p>
    <w:p>
      <w:pPr>
        <w:pStyle w:val="正文段落"/>
      </w:pPr>
      <w:r>
        <w:rPr>
          <w:rFonts w:ascii="Times New Roman" w:hAnsi="Times New Roman" w:eastAsia="宋体" w:cs="Times New Roman"/>
        </w:rPr>
        <w:t>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w:t>
      </w:r>
    </w:p>
    <w:p>
      <w:pPr>
        <w:pStyle w:val="正文段落"/>
      </w:pPr>
      <w:r>
        <w:rPr>
          <w:rFonts w:ascii="Times New Roman" w:hAnsi="Times New Roman" w:eastAsia="宋体" w:cs="Times New Roman"/>
        </w:rPr>
        <w:t>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rPr>
        <w:t>本文的价值在于：把「财经事件如何结构化表示」与「知识图谱能否带来额外检索价值」两个问题，转化为可复算、可判否的实验设计，给出正负并存、口径分离的实测结论；并交付了一套可运行、可追溯、可复现的问答系统与配套工程规范——包括五步证据契约、契约快照与一键盘门禁，为同类财经问答系统的设计与评价提供可借鉴的工程路径。</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：事件知识图谱；检索增强生成（RAG）；A股财经信息；智能问答系统；混合检索与证据追溯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as such.</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 xml:space="preserve"> — the reference annotations here being the consensus of three models rather than human annotators — is: entities F1 0.5090, events F1 0.1387, relations F1 0.0783 and time F1 0.3924 (the upper bounds under the loose-pairing criterion are 0.5391, 0.2428, 0.4269 and 0.3924 respectively); under the single-model reference-set criterion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26 business paths (28 business operations), and the OpenAPI contract snapshot lists 31 paths and 34 operations in total (including 4 real-time demonstration paths and 1 health-probe path).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rPr>
        <w:t>The value of this work lies in turning two questions—how financial events should be structurally represented, and whether a knowledge graph provides additional retrieval value—into reproducible and falsifiable experiments, in reporting positive and negative findings under explicitly separated protocols, and in delivering a runnable, traceable and reproducible question answering system together with engineering practices such as the five-step evidence contract, contract snapshots and a one-command gate.</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and Evidence Traceability</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33"/>
          <w:footerReference w:type="default" r:id="rId34"/>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阶段建立的精选文献库（22 篇），以及 2026-10-20 为补足中文核心期刊覆盖而新增并逐条核实的 7 篇中文文献（见参考文献第 23～29 条），共 29 篇。本节所引文献构成为：</w:t>
      </w:r>
      <w:r>
        <w:rPr>
          <w:rFonts w:ascii="Times New Roman" w:hAnsi="Times New Roman" w:eastAsia="宋体" w:cs="Times New Roman"/>
          <w:b/>
        </w:rPr>
        <w:t>英文奠基文献 6 篇 ＋ 国内进展文献 23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4/29＝13.8%；若只按英文会议与期刊口径统计，则为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的方法层面，已有综述系统梳理了领域事件图谱的构建流程（事件触发词识别、事件要素识别、事件关系识别与事件存储），并指出事件本体的借鉴与复用是构建实践中的必要选项[23]；面向元事件的深度学习抽取研究把抽取任务转化为分类、序列标注与机器阅读理解三类形式，并归纳了数据、语义、重叠与级联四类难点[24]。在金融场景上，已有工作面向高频财经事件构建因果事理图谱，以序列标注定义与 BERT＋Bi-LSTM＋CRF 抽取方案揭示金融事件的因果传导路径[25]；面向事件的知识图谱研究综述则把事件知识图谱列为预训练语言模型时代的两类新型知识图谱之一[26]。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从定义、分类与评测角度梳理了基于聚类与基于实体链接的两条技术路线，并指出实体链接的效果依赖目标知识库的规模与质量[27]。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在垂直领域应用上，已有工作以电池研究为例综述了 RAG 架构在专业领域的落地方式，并强调其在专业领域中的可靠性来源于"以检索证据约束生成"[28]；在时序信息处理上，已有研究把时间信息引入图嵌入过程并用于任务推断，说明时序知识图谱中的时间维度是可建模、可推理的[29]。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3"/>
      </w:pPr>
      <w:r>
        <w:rPr>
          <w:rFonts w:ascii="Times New Roman" w:hAnsi="Times New Roman" w:eastAsia="黑体" w:cs="Times New Roman"/>
        </w:rPr>
        <w:t>1.6 本章小结</w:t>
      </w:r>
    </w:p>
    <w:p>
      <w:pPr>
        <w:pStyle w:val="正文段落"/>
      </w:pPr>
      <w:r>
        <w:rPr>
          <w:rFonts w:ascii="Times New Roman" w:hAnsi="Times New Roman" w:eastAsia="宋体" w:cs="Times New Roman"/>
        </w:rPr>
        <w:t>本章说明了 A 股财经信息分散、时效性强且需要来源核验的研究背景，从数据与知识组织、检索方法与工程实践三个层面阐明研究意义；在梳理知识图谱与事件抽取、RAG 与混合检索、金融问答及系统实现四方面现状后，归纳出事件中心化图谱构建不足、图谱增强 RAG 效果验证不足、联合追溯实现不足三条研究空白，并据此确定研究内容与论文结构。上述分析表明，本文需要以事件为核心组织财经知识，并在统一口径下检验图谱对检索的实际作用。下一章介绍实现所需的关键技术。</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3"/>
      </w:pPr>
      <w:r>
        <w:rPr>
          <w:rFonts w:ascii="Times New Roman" w:hAnsi="Times New Roman" w:eastAsia="黑体" w:cs="Times New Roman"/>
        </w:rPr>
        <w:t>2.9 本章小结</w:t>
      </w:r>
    </w:p>
    <w:p>
      <w:pPr>
        <w:pStyle w:val="正文段落"/>
      </w:pPr>
      <w:r>
        <w:rPr>
          <w:rFonts w:ascii="Times New Roman" w:hAnsi="Times New Roman" w:eastAsia="宋体" w:cs="Times New Roman"/>
        </w:rPr>
        <w:t>本章介绍了大语言模型、RAG、向量检索、知识图谱、事件抽取、Neo4j、FastAPI 与前端相关技术，并逐项界定其在本文中的职责边界：模型只基于证据生成正文，检索与证据选择由确定性管线完成；向量检索只返回候选并保留原始排名；图谱查询与上层解耦；接口与页面按统一封装和固定段头实现。上述技术选择共同服务于"证据可追溯、变量可归因"的设计目标，为第3章需求分析与第4章系统设计提供技术依据。下一章进行系统需求分析。</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3"/>
      </w:pPr>
      <w:r>
        <w:rPr>
          <w:rFonts w:ascii="Times New Roman" w:hAnsi="Times New Roman" w:eastAsia="黑体" w:cs="Times New Roman"/>
        </w:rPr>
        <w:t>3.6 本章小结</w:t>
      </w:r>
    </w:p>
    <w:p>
      <w:pPr>
        <w:pStyle w:val="正文段落"/>
      </w:pPr>
      <w:r>
        <w:rPr>
          <w:rFonts w:ascii="Times New Roman" w:hAnsi="Times New Roman" w:eastAsia="宋体" w:cs="Times New Roman"/>
        </w:rPr>
        <w:t>本章从普通用户与后台两类角色出发，给出六个功能模块的功能需求、七个用例及异常分支，并按响应时间、并发能力、可维护性、数据一致性、异常处理、安全性与评测口径性质七项非功能需求明确验收口径；可行性分析从技术、数据、工期与风险四方面说明方案可落地，并预先登记了"图谱未必带来增益"等风险及其处置原则。上述需求与验收口径构成后续设计与测试的依据。下一章给出系统总体设计与详细设计。</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正文段落"/>
      </w:pPr>
      <w:r>
        <w:rPr>
          <w:rFonts w:ascii="Times New Roman" w:hAnsi="Times New Roman" w:eastAsia="宋体" w:cs="Times New Roman"/>
        </w:rPr>
        <w:t>在模块划分的基础上，图 4-9 给出核心类图：左侧为后端服务层（</w:t>
      </w:r>
      <w:r>
        <w:rPr>
          <w:rFonts w:ascii="Consolas" w:hAnsi="Consolas" w:eastAsia="宋体" w:cs="Consolas"/>
        </w:rPr>
        <w:t>api/qa</w:t>
      </w:r>
      <w:r>
        <w:rPr>
          <w:rFonts w:ascii="Times New Roman" w:hAnsi="Times New Roman" w:eastAsia="宋体" w:cs="Times New Roman"/>
        </w:rPr>
        <w:t>、</w:t>
      </w:r>
      <w:r>
        <w:rPr>
          <w:rFonts w:ascii="Consolas" w:hAnsi="Consolas" w:eastAsia="宋体" w:cs="Consolas"/>
        </w:rPr>
        <w:t>services/qa_service</w:t>
      </w:r>
      <w:r>
        <w:rPr>
          <w:rFonts w:ascii="Times New Roman" w:hAnsi="Times New Roman" w:eastAsia="宋体" w:cs="Times New Roman"/>
        </w:rPr>
        <w:t>、</w:t>
      </w:r>
      <w:r>
        <w:rPr>
          <w:rFonts w:ascii="Consolas" w:hAnsi="Consolas" w:eastAsia="宋体" w:cs="Consolas"/>
        </w:rPr>
        <w:t>cache</w:t>
      </w:r>
      <w:r>
        <w:rPr>
          <w:rFonts w:ascii="Times New Roman" w:hAnsi="Times New Roman" w:eastAsia="宋体" w:cs="Times New Roman"/>
        </w:rPr>
        <w:t>、</w:t>
      </w:r>
      <w:r>
        <w:rPr>
          <w:rFonts w:ascii="Consolas" w:hAnsi="Consolas" w:eastAsia="宋体" w:cs="Consolas"/>
        </w:rPr>
        <w:t>errors</w:t>
      </w:r>
      <w:r>
        <w:rPr>
          <w:rFonts w:ascii="Times New Roman" w:hAnsi="Times New Roman" w:eastAsia="宋体" w:cs="Times New Roman"/>
        </w:rPr>
        <w:t>、</w:t>
      </w:r>
      <w:r>
        <w:rPr>
          <w:rFonts w:ascii="Consolas" w:hAnsi="Consolas" w:eastAsia="宋体" w:cs="Consolas"/>
        </w:rPr>
        <w:t>observability</w:t>
      </w:r>
      <w:r>
        <w:rPr>
          <w:rFonts w:ascii="Times New Roman" w:hAnsi="Times New Roman" w:eastAsia="宋体" w:cs="Times New Roman"/>
        </w:rPr>
        <w:t>），右侧为检索与融合层（</w:t>
      </w:r>
      <w:r>
        <w:rPr>
          <w:rFonts w:ascii="Consolas" w:hAnsi="Consolas" w:eastAsia="宋体" w:cs="Consolas"/>
        </w:rPr>
        <w:t>pipeline</w:t>
      </w:r>
      <w:r>
        <w:rPr>
          <w:rFonts w:ascii="Times New Roman" w:hAnsi="Times New Roman" w:eastAsia="宋体" w:cs="Times New Roman"/>
        </w:rPr>
        <w:t>、</w:t>
      </w:r>
      <w:r>
        <w:rPr>
          <w:rFonts w:ascii="Consolas" w:hAnsi="Consolas" w:eastAsia="宋体" w:cs="Consolas"/>
        </w:rPr>
        <w:t>vector_search</w:t>
      </w:r>
      <w:r>
        <w:rPr>
          <w:rFonts w:ascii="Times New Roman" w:hAnsi="Times New Roman" w:eastAsia="宋体" w:cs="Times New Roman"/>
        </w:rPr>
        <w:t>、</w:t>
      </w:r>
      <w:r>
        <w:rPr>
          <w:rFonts w:ascii="Consolas" w:hAnsi="Consolas" w:eastAsia="宋体" w:cs="Consolas"/>
        </w:rPr>
        <w:t>lexical_search</w:t>
      </w:r>
      <w:r>
        <w:rPr>
          <w:rFonts w:ascii="Times New Roman" w:hAnsi="Times New Roman" w:eastAsia="宋体" w:cs="Times New Roman"/>
        </w:rPr>
        <w:t>、</w:t>
      </w:r>
      <w:r>
        <w:rPr>
          <w:rFonts w:ascii="Consolas" w:hAnsi="Consolas" w:eastAsia="宋体" w:cs="Consolas"/>
        </w:rPr>
        <w:t>hybrid_retrieval</w:t>
      </w:r>
      <w:r>
        <w:rPr>
          <w:rFonts w:ascii="Times New Roman" w:hAnsi="Times New Roman" w:eastAsia="宋体" w:cs="Times New Roman"/>
        </w:rPr>
        <w:t>、</w:t>
      </w:r>
      <w:r>
        <w:rPr>
          <w:rFonts w:ascii="Consolas" w:hAnsi="Consolas" w:eastAsia="宋体" w:cs="Consolas"/>
        </w:rPr>
        <w:t>reranker</w:t>
      </w:r>
      <w:r>
        <w:rPr>
          <w:rFonts w:ascii="Times New Roman" w:hAnsi="Times New Roman" w:eastAsia="宋体" w:cs="Times New Roman"/>
        </w:rPr>
        <w:t>）。图中以 «module» 构造型表示 Python 模块级组织，未虚构不存在的类；方法名逐条取自代码。跨层调用关系与图 4-10 一致：</w:t>
      </w:r>
      <w:r>
        <w:rPr>
          <w:rFonts w:ascii="Consolas" w:hAnsi="Consolas" w:eastAsia="宋体" w:cs="Consolas"/>
        </w:rPr>
        <w:t>api/qa.ask()</w:t>
      </w:r>
      <w:r>
        <w:rPr>
          <w:rFonts w:ascii="Times New Roman" w:hAnsi="Times New Roman" w:eastAsia="宋体" w:cs="Times New Roman"/>
        </w:rPr>
        <w:t xml:space="preserve"> → </w:t>
      </w:r>
      <w:r>
        <w:rPr>
          <w:rFonts w:ascii="Consolas" w:hAnsi="Consolas" w:eastAsia="宋体" w:cs="Consolas"/>
        </w:rPr>
        <w:t>qa_service.ask()</w:t>
      </w:r>
      <w:r>
        <w:rPr>
          <w:rFonts w:ascii="Times New Roman" w:hAnsi="Times New Roman" w:eastAsia="宋体" w:cs="Times New Roman"/>
        </w:rPr>
        <w:t xml:space="preserve"> → </w:t>
      </w:r>
      <w:r>
        <w:rPr>
          <w:rFonts w:ascii="Consolas" w:hAnsi="Consolas" w:eastAsia="宋体" w:cs="Consolas"/>
        </w:rPr>
        <w:t>_run_chain()</w:t>
      </w:r>
      <w:r>
        <w:rPr>
          <w:rFonts w:ascii="Times New Roman" w:hAnsi="Times New Roman" w:eastAsia="宋体" w:cs="Times New Roman"/>
        </w:rPr>
        <w:t xml:space="preserve"> → </w:t>
      </w:r>
      <w:r>
        <w:rPr>
          <w:rFonts w:ascii="Consolas" w:hAnsi="Consolas" w:eastAsia="宋体" w:cs="Consolas"/>
        </w:rPr>
        <w:t>run_answer.py</w:t>
      </w:r>
      <w:r>
        <w:rPr>
          <w:rFonts w:ascii="Times New Roman" w:hAnsi="Times New Roman" w:eastAsia="宋体" w:cs="Times New Roman"/>
        </w:rPr>
        <w:t>（子进程）。</w:t>
      </w:r>
    </w:p>
    <w:p>
      <w:pPr>
        <w:pStyle w:val="图题"/>
        <w:keepNext/>
      </w:pPr>
      <w:r>
        <w:drawing>
          <wp:inline xmlns:a="http://schemas.openxmlformats.org/drawingml/2006/main" xmlns:pic="http://schemas.openxmlformats.org/drawingml/2006/picture">
            <wp:extent cx="5256000" cy="4177846"/>
            <wp:docPr id="3" name="Picture 3"/>
            <wp:cNvGraphicFramePr>
              <a:graphicFrameLocks noChangeAspect="1"/>
            </wp:cNvGraphicFramePr>
            <a:graphic>
              <a:graphicData uri="http://schemas.openxmlformats.org/drawingml/2006/picture">
                <pic:pic>
                  <pic:nvPicPr>
                    <pic:cNvPr id="0" name="图4-9-核心类图.png"/>
                    <pic:cNvPicPr/>
                  </pic:nvPicPr>
                  <pic:blipFill>
                    <a:blip r:embed="rId11"/>
                    <a:stretch>
                      <a:fillRect/>
                    </a:stretch>
                  </pic:blipFill>
                  <pic:spPr>
                    <a:xfrm>
                      <a:off x="0" y="0"/>
                      <a:ext cx="5256000" cy="4177846"/>
                    </a:xfrm>
                    <a:prstGeom prst="rect"/>
                  </pic:spPr>
                </pic:pic>
              </a:graphicData>
            </a:graphic>
          </wp:inline>
        </w:drawing>
      </w:r>
    </w:p>
    <w:p>
      <w:pPr>
        <w:pStyle w:val="图题"/>
      </w:pPr>
      <w:r>
        <w:rPr>
          <w:rFonts w:ascii="Times New Roman" w:hAnsi="Times New Roman" w:eastAsia="宋体" w:cs="Times New Roman"/>
        </w:rPr>
        <w:t>图 4-9　核心类图（后端服务与检索组件）</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正文段落"/>
      </w:pPr>
      <w:r>
        <w:rPr>
          <w:rFonts w:ascii="Times New Roman" w:hAnsi="Times New Roman" w:eastAsia="宋体" w:cs="Times New Roman"/>
        </w:rPr>
        <w:t>四条业务流程中，提问问答是主链路。图 4-10 按时间顺序给出参与者之间的消息交互：前端 → 后端接口 → 问答编排 → 检索管线（向量检索、词法检索、融合）→ 图谱查询 → 证据装配（五步契约）→ 大语言模型 → 返回。图中实线为请求、虚线为返回；标注了两条不变式——集合在第四步冻结、后续只允许改顺序，以及证据必须可回溯到文档与文本块。</w:t>
      </w:r>
    </w:p>
    <w:p>
      <w:pPr>
        <w:pStyle w:val="图题"/>
        <w:keepNext/>
      </w:pPr>
      <w:r>
        <w:drawing>
          <wp:inline xmlns:a="http://schemas.openxmlformats.org/drawingml/2006/main" xmlns:pic="http://schemas.openxmlformats.org/drawingml/2006/picture">
            <wp:extent cx="5256000" cy="4401900"/>
            <wp:docPr id="12" name="Picture 12"/>
            <wp:cNvGraphicFramePr>
              <a:graphicFrameLocks noChangeAspect="1"/>
            </wp:cNvGraphicFramePr>
            <a:graphic>
              <a:graphicData uri="http://schemas.openxmlformats.org/drawingml/2006/picture">
                <pic:pic>
                  <pic:nvPicPr>
                    <pic:cNvPr id="0" name="图4-10-提问到答案核心时序图.png"/>
                    <pic:cNvPicPr/>
                  </pic:nvPicPr>
                  <pic:blipFill>
                    <a:blip r:embed="rId20"/>
                    <a:stretch>
                      <a:fillRect/>
                    </a:stretch>
                  </pic:blipFill>
                  <pic:spPr>
                    <a:xfrm>
                      <a:off x="0" y="0"/>
                      <a:ext cx="5256000" cy="4401900"/>
                    </a:xfrm>
                    <a:prstGeom prst="rect"/>
                  </pic:spPr>
                </pic:pic>
              </a:graphicData>
            </a:graphic>
          </wp:inline>
        </w:drawing>
      </w:r>
    </w:p>
    <w:p>
      <w:pPr>
        <w:pStyle w:val="图题"/>
      </w:pPr>
      <w:r>
        <w:rPr>
          <w:rFonts w:ascii="Times New Roman" w:hAnsi="Times New Roman" w:eastAsia="宋体" w:cs="Times New Roman"/>
        </w:rPr>
        <w:t>图 4-10　提问到答案的核心时序图</w:t>
      </w:r>
    </w:p>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3" name="Picture 13"/>
            <wp:cNvGraphicFramePr>
              <a:graphicFrameLocks noChangeAspect="1"/>
            </wp:cNvGraphicFramePr>
            <a:graphic>
              <a:graphicData uri="http://schemas.openxmlformats.org/drawingml/2006/picture">
                <pic:pic>
                  <pic:nvPicPr>
                    <pic:cNvPr id="0" name="图4-4-六张表的ER图.png"/>
                    <pic:cNvPicPr/>
                  </pic:nvPicPr>
                  <pic:blipFill>
                    <a:blip r:embed="rId21"/>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4" name="Picture 14"/>
            <wp:cNvGraphicFramePr>
              <a:graphicFrameLocks noChangeAspect="1"/>
            </wp:cNvGraphicFramePr>
            <a:graphic>
              <a:graphicData uri="http://schemas.openxmlformats.org/drawingml/2006/picture">
                <pic:pic>
                  <pic:nvPicPr>
                    <pic:cNvPr id="0" name="图4-5-向量原文三级映射链路.png"/>
                    <pic:cNvPicPr/>
                  </pic:nvPicPr>
                  <pic:blipFill>
                    <a:blip r:embed="rId22"/>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5" name="Picture 15"/>
            <wp:cNvGraphicFramePr>
              <a:graphicFrameLocks noChangeAspect="1"/>
            </wp:cNvGraphicFramePr>
            <a:graphic>
              <a:graphicData uri="http://schemas.openxmlformats.org/drawingml/2006/picture">
                <pic:pic>
                  <pic:nvPicPr>
                    <pic:cNvPr id="0" name="图4-6-知识图谱本体总览.png"/>
                    <pic:cNvPicPr/>
                  </pic:nvPicPr>
                  <pic:blipFill>
                    <a:blip r:embed="rId23"/>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为便于复现，本节给出检索打分与融合的形式化定义。式(4-1)为向量检索使用的余弦相似度：</w:t>
      </w:r>
    </w:p>
    <w:p>
      <w:pPr>
        <w:pStyle w:val="正文段落"/>
      </w:pPr>
      <w:r>
        <w:rPr>
          <w:rFonts w:ascii="Times New Roman" w:hAnsi="Times New Roman" w:eastAsia="宋体" w:cs="Times New Roman"/>
        </w:rPr>
        <w:t>cos(q, d) = (q · d) / (‖q‖₂ · ‖d‖₂)　　(4-1)</w:t>
      </w:r>
    </w:p>
    <w:p>
      <w:pPr>
        <w:pStyle w:val="正文段落"/>
      </w:pPr>
      <w:r>
        <w:rPr>
          <w:rFonts w:ascii="Times New Roman" w:hAnsi="Times New Roman" w:eastAsia="宋体" w:cs="Times New Roman"/>
        </w:rPr>
        <w:t>其中 q 与 d 分别为问题与文本块的 512 维向量，二者在编码后均做 L2 归一化；归一化后内积与余弦相似度等价，实现中以精确内积索引完成检索。</w:t>
      </w:r>
    </w:p>
    <w:p>
      <w:pPr>
        <w:pStyle w:val="正文段落"/>
      </w:pPr>
      <w:r>
        <w:rPr>
          <w:rFonts w:ascii="Times New Roman" w:hAnsi="Times New Roman" w:eastAsia="宋体" w:cs="Times New Roman"/>
        </w:rPr>
        <w:t>式(4-2)为词法通道使用的 BM25 打分：</w:t>
      </w:r>
    </w:p>
    <w:p>
      <w:pPr>
        <w:pStyle w:val="正文段落"/>
      </w:pPr>
      <w:r>
        <w:rPr>
          <w:rFonts w:ascii="Times New Roman" w:hAnsi="Times New Roman" w:eastAsia="宋体" w:cs="Times New Roman"/>
        </w:rPr>
        <w:t>score_BM25(q, d) = Σ_{t∈q∩d} IDF(t) · [tf(t, d)(k₁ + 1)] / [tf(t, d) + k₁(1 − b + b · |d| / avgdl)]　　(4-2)</w:t>
      </w:r>
    </w:p>
    <w:p>
      <w:pPr>
        <w:pStyle w:val="正文段落"/>
      </w:pPr>
      <w:r>
        <w:rPr>
          <w:rFonts w:ascii="Times New Roman" w:hAnsi="Times New Roman" w:eastAsia="宋体" w:cs="Times New Roman"/>
        </w:rPr>
        <w:t>其中 t 为查询与文本块共有的词项（中文按字符 1～3-gram 切分，英文与数字按整串切分），tf(t, d) 为词项频率，|d| 为文本块长度，avgdl 为平均块长，IDF(t) = ln(1 + (N − df(t) + 0.5) / (df(t) + 0.5))，N 为文本块总数、df(t) 为包含 t 的文本块数；实现取 k₁=1.5、b=0.75，分数降序、并列按文本块编号升序。</w:t>
      </w:r>
    </w:p>
    <w:p>
      <w:pPr>
        <w:pStyle w:val="正文段落"/>
      </w:pPr>
      <w:r>
        <w:rPr>
          <w:rFonts w:ascii="Times New Roman" w:hAnsi="Times New Roman" w:eastAsia="宋体" w:cs="Times New Roman"/>
        </w:rPr>
        <w:t>式(4-3)为可插拔混合检索档使用的倒数排名融合（RRF）：</w:t>
      </w:r>
    </w:p>
    <w:p>
      <w:pPr>
        <w:pStyle w:val="正文段落"/>
      </w:pPr>
      <w:r>
        <w:rPr>
          <w:rFonts w:ascii="Times New Roman" w:hAnsi="Times New Roman" w:eastAsia="宋体" w:cs="Times New Roman"/>
        </w:rPr>
        <w:t>score_RRF(d) = Σ_{c∈C} 1 / (k + rank_c(d))　　(4-3)</w:t>
      </w:r>
    </w:p>
    <w:p>
      <w:pPr>
        <w:pStyle w:val="正文段落"/>
      </w:pPr>
      <w:r>
        <w:rPr>
          <w:rFonts w:ascii="Times New Roman" w:hAnsi="Times New Roman" w:eastAsia="宋体" w:cs="Times New Roman"/>
        </w:rPr>
        <w:t>其中 C 为参与融合的通道集合（向量通道与 BM25 词法通道），rank_c(d) 为文本块 d 在通道 c 中的排名（从 1 起），k 为平滑常数，实现取 k=60、两路等权，融合后按分数降序取前 N 条。除 RRF 外，系统另提供按 MRR 选参的 z-score 融合档：两路分数先按通道做 z-score 归一化，再按向量权重 α=0.3、词法权重 0.7 加权求和。需要说明的是，式(4-2)与式(4-3)用于可插拔词法—稠密融合档及其离线对照；本文第6章冻结的 A～E 五组仍按集合语义合并两路候选，不启用加权融合，两者口径不同、不得混引。</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20" name="Picture 20"/>
            <wp:cNvGraphicFramePr>
              <a:graphicFrameLocks noChangeAspect="1"/>
            </wp:cNvGraphicFramePr>
            <a:graphic>
              <a:graphicData uri="http://schemas.openxmlformats.org/drawingml/2006/picture">
                <pic:pic>
                  <pic:nvPicPr>
                    <pic:cNvPr id="0" name="图4-8-A-E五组配置路径.png"/>
                    <pic:cNvPicPr/>
                  </pic:nvPicPr>
                  <pic:blipFill>
                    <a:blip r:embed="rId28"/>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3"/>
      </w:pPr>
      <w:r>
        <w:rPr>
          <w:rFonts w:ascii="Times New Roman" w:hAnsi="Times New Roman" w:eastAsia="黑体" w:cs="Times New Roman"/>
        </w:rPr>
        <w:t>4.8 本章小结</w:t>
      </w:r>
    </w:p>
    <w:p>
      <w:pPr>
        <w:pStyle w:val="正文段落"/>
      </w:pPr>
      <w:r>
        <w:rPr>
          <w:rFonts w:ascii="Times New Roman" w:hAnsi="Times New Roman" w:eastAsia="宋体" w:cs="Times New Roman"/>
        </w:rPr>
        <w:t>本章给出系统总体架构与六个功能模块的设计，完成业务流程、数据库、知识图谱本体与接口设计；在检索设计中将最终证据集合的形成固定为五步契约，明确时间过滤先于合并去重、保留 K 先于证据排序两条位置约束，并用 A～E 五组配置把"逐项增加一个开关"落实为可检验的实验设计。上述设计保证了检索变量可归因、证据链路可追溯，为第5章实现提供直接依据。下一章说明各模块的实现落点与实测读数。</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3"/>
      </w:pPr>
      <w:r>
        <w:rPr>
          <w:rFonts w:ascii="Times New Roman" w:hAnsi="Times New Roman" w:eastAsia="黑体" w:cs="Times New Roman"/>
        </w:rPr>
        <w:t>5.6.1 检索融合的可插拔实现与显著性检验</w:t>
      </w:r>
    </w:p>
    <w:p>
      <w:pPr>
        <w:pStyle w:val="正文段落"/>
      </w:pPr>
      <w:r>
        <w:rPr>
          <w:rFonts w:ascii="Times New Roman" w:hAnsi="Times New Roman" w:eastAsia="宋体" w:cs="Times New Roman"/>
        </w:rPr>
        <w:t>5.6 节所说的"混合"是向量检索与图谱扩展两路候选的合并；本小节处理另一层问题：向量通道本身在精确数字、公司全称、证券代码等字面强约束的问题上召回不稳。稠密向量对语义相近但字面不同的文本更稳健，却可能把与问题共享罕见词面的文本块排到后面；BM25 则恰好相反。为此，系统在向量通道内部增加一个可选的词法—稠密融合档：以字符 1～3-gram 的 BM25 作为词法通道，与既有向量检索分别取 N 条候选，先按通道做 z-score 归一化，再按向量权重 alpha＝0.3、词法权重 0.7 加权求和，按融合分重新排序后仍取前 N 条。</w:t>
      </w:r>
    </w:p>
    <w:p>
      <w:pPr>
        <w:pStyle w:val="正文段落"/>
      </w:pPr>
      <w:r>
        <w:rPr>
          <w:rFonts w:ascii="Times New Roman" w:hAnsi="Times New Roman" w:eastAsia="宋体" w:cs="Times New Roman"/>
        </w:rPr>
        <w:t>实现上，融合档被放在五步契约的第一步"两路取候选"的向量侧，只替换该侧的候选与排名，第二至第五步（合并去重、预算裁剪、保留 K、呈现顺序与证据装配）一行不改。这样做的目的是让融合只影响"谁进入候选池、以什么顺序进入"，而不改变既有的 K／N／上下文预算不变量与证据集合形成规则。档位由同一入口的可选参数选择：</w:t>
      </w:r>
      <w:r>
        <w:rPr>
          <w:rFonts w:ascii="Consolas" w:hAnsi="Consolas" w:eastAsia="宋体" w:cs="Consolas"/>
        </w:rPr>
        <w:t>vector</w:t>
      </w:r>
      <w:r>
        <w:rPr>
          <w:rFonts w:ascii="Times New Roman" w:hAnsi="Times New Roman" w:eastAsia="宋体" w:cs="Times New Roman"/>
        </w:rPr>
        <w:t xml:space="preserve"> 为冻结实验口径，</w:t>
      </w:r>
      <w:r>
        <w:rPr>
          <w:rFonts w:ascii="Consolas" w:hAnsi="Consolas" w:eastAsia="宋体" w:cs="Consolas"/>
        </w:rPr>
        <w:t>hybrid-zscore</w:t>
      </w:r>
      <w:r>
        <w:rPr>
          <w:rFonts w:ascii="Times New Roman" w:hAnsi="Times New Roman" w:eastAsia="宋体" w:cs="Times New Roman"/>
        </w:rPr>
        <w:t xml:space="preserve"> 为融合档；检索管线的默认值仍是 </w:t>
      </w:r>
      <w:r>
        <w:rPr>
          <w:rFonts w:ascii="Consolas" w:hAnsi="Consolas" w:eastAsia="宋体" w:cs="Consolas"/>
        </w:rPr>
        <w:t>vector</w:t>
      </w:r>
      <w:r>
        <w:rPr>
          <w:rFonts w:ascii="Times New Roman" w:hAnsi="Times New Roman" w:eastAsia="宋体" w:cs="Times New Roman"/>
        </w:rPr>
        <w:t xml:space="preserve">，因此 A～E 五组实验在不显式传参时逐字节复现原结果；线上后端则由环境变量 </w:t>
      </w:r>
      <w:r>
        <w:rPr>
          <w:rFonts w:ascii="Consolas" w:hAnsi="Consolas" w:eastAsia="宋体" w:cs="Consolas"/>
        </w:rPr>
        <w:t>ASHARE_RETRIEVAL_MODE</w:t>
      </w:r>
      <w:r>
        <w:rPr>
          <w:rFonts w:ascii="Times New Roman" w:hAnsi="Times New Roman" w:eastAsia="宋体" w:cs="Times New Roman"/>
        </w:rPr>
        <w:t xml:space="preserve"> 默认下发 </w:t>
      </w:r>
      <w:r>
        <w:rPr>
          <w:rFonts w:ascii="Consolas" w:hAnsi="Consolas" w:eastAsia="宋体" w:cs="Consolas"/>
        </w:rPr>
        <w:t>hybrid-zscore</w:t>
      </w:r>
      <w:r>
        <w:rPr>
          <w:rFonts w:ascii="Times New Roman" w:hAnsi="Times New Roman" w:eastAsia="宋体" w:cs="Times New Roman"/>
        </w:rPr>
        <w:t>，并在启动自检中可核对。融合模块按文件路径懒加载，默认档不会触发加载，也不会改变原缓存键与留痕键序；C 组 30 题仍直接消费冻结留痕，不经过该分支。</w:t>
      </w:r>
    </w:p>
    <w:p>
      <w:pPr>
        <w:pStyle w:val="正文段落"/>
      </w:pPr>
      <w:r>
        <w:rPr>
          <w:rFonts w:ascii="Times New Roman" w:hAnsi="Times New Roman" w:eastAsia="宋体" w:cs="Times New Roman"/>
        </w:rPr>
        <w:t>参数与读数来自同一批 120 题的离线调优。基线为 BM25 单独检索；融合档取 alpha＝0.3、两路各取 N、关闭查询扩展。记 K＝10，基线的 R@10 为 0.8875、MRR 为 0.7533、Complete 为 0.8500、Hit@1 为 0.6583；融合档分别为 0.9014、0.7857、0.8583、0.7000。以逐题配对 bootstrap（5000 次，seed＝20261020，95% 百分位区间）检验，MRR 的差值为 +0.0324，置信区间 [+0.0082, +0.0600]，不包含 0，达到显著；Hit@1 提升 0.0417，处于显著边界；R@10 提升 0.0139、Complete 提升 0.0083，二者不显著。另需说明，若只按 R@10 选参，网格第一名是 RRF（k＝10、权重 1∶2、开启查询扩展），其 R@10 为 0.9042，略高于融合档，但 MRR 为 0.7238，反而低于 BM25，且配对检验不显著，故未采用；按 MRR 口径选择才落到 z-score 融合档。这一取舍说明"以哪个指标选参"会改变结论，不能把任一网格第一名直接当作普遍最优。</w:t>
      </w:r>
    </w:p>
    <w:p>
      <w:pPr>
        <w:pStyle w:val="正文段落"/>
      </w:pPr>
      <w:r>
        <w:rPr>
          <w:rFonts w:ascii="Times New Roman" w:hAnsi="Times New Roman" w:eastAsia="宋体" w:cs="Times New Roman"/>
        </w:rPr>
        <w:t>上述显著性的边界必须写明：参数选择与效果检验使用同一批 120 题，没有独立确认集，因此 +0.0324 是在选参样本上的读数，不能外推为对未见题集的增益承诺；融合档也没有作为新的 A～E 实验组重跑，第 6 章的全部冻结读数仍是向量档的结果。它的定位是"在既有契约上增加一个可插拔、可回退的工程档位"，而不是改写实验结论。</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26 条业务路径（28 个业务操作），另有 4 条实时演示路径与 1 条健康探针路径（GET／HEAD 两个操作）；按 OpenAPI 契约快照实测共 31 条路径、34 个操作，覆盖上述全部页面所需能力。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3"/>
      </w:pPr>
      <w:r>
        <w:rPr>
          <w:rFonts w:ascii="Times New Roman" w:hAnsi="Times New Roman" w:eastAsia="黑体" w:cs="Times New Roman"/>
        </w:rPr>
        <w:t>5.10 本章小结</w:t>
      </w:r>
    </w:p>
    <w:p>
      <w:pPr>
        <w:pStyle w:val="正文段落"/>
      </w:pPr>
      <w:r>
        <w:rPr>
          <w:rFonts w:ascii="Times New Roman" w:hAnsi="Times New Roman" w:eastAsia="宋体" w:cs="Times New Roman"/>
        </w:rPr>
        <w:t>本章按数据处理、事件抽取、实体消歧与事件去重、知识图谱构建、向量索引构建、混合检索、大模型问答、证据追溯与前端页面九个模块说明实现落点。实现中固化五步证据契约与分层保留顺序，修正了图谱侧证据无法进入最终集合的缺陷；证据清单、图谱路径与原文定位链路均以确定性代码拼装，并以机检保证"三方一致"。上述实现使第4章的设计转化为可运行、可复算的系统。下一章给出系统测试与实验分析。</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582 例</w:t>
      </w:r>
      <w:r>
        <w:rPr>
          <w:rFonts w:ascii="Times New Roman" w:hAnsi="Times New Roman" w:eastAsia="宋体" w:cs="Times New Roman"/>
        </w:rPr>
        <w:t>，全部通过，失败 0、跳过 0（2026-10-20 实测）。测试完全离线：会话级夹具装有网络审计钩子，任何网络连接、域名解析或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582 例通过，退出码为 0。此前 2026-10-17 的基线为 289 例（模块隔离／五步契约／检索指标／答案拼装／后端错误码五组共 122 例、数据准备与抽取与图谱两组各 46 例、后端接口一组 75 例），此后随检索融合、契约快照、参数契约与可观测性等用例补充，当前基线更新为 582 例；后端接口用例覆盖新增的关键词检索、图谱实体详情与实体级证据等路径的成功路径、统一错误信封与边界输入。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84 例</w:t>
      </w:r>
      <w:r>
        <w:rPr>
          <w:rFonts w:ascii="Times New Roman" w:hAnsi="Times New Roman" w:eastAsia="宋体" w:cs="Times New Roman"/>
        </w:rPr>
        <w:t>，全部通过（2026-10-20 实测；此前 67 例为历史基线）。其中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的口径，表 4-13 的 28 行接口清单减去 3 个第一版不启用的条件性登录接口，得到 </w:t>
      </w:r>
      <w:r>
        <w:rPr>
          <w:rFonts w:ascii="Times New Roman" w:hAnsi="Times New Roman" w:eastAsia="宋体" w:cs="Times New Roman"/>
          <w:b/>
        </w:rPr>
        <w:t>25 个核心业务接口</w:t>
      </w:r>
      <w:r>
        <w:rPr>
          <w:rFonts w:ascii="Times New Roman" w:hAnsi="Times New Roman" w:eastAsia="宋体" w:cs="Times New Roman"/>
        </w:rPr>
        <w:t xml:space="preserve">（23 条路径、25 个操作）。按模块分布为：问答 2 个、配置 1 个、证据 2 个、文档块 1 个、历史 2 个、图谱 5 个、后台 12 个（含文档增删改查、重新处理、一致性检查、抽取任务与事件查询、待消歧列表与消歧确认、受控实验入口）。除这 25 个以外，后端另注册关键词检索 1 个操作、图谱实体详情与实体级证据 2 个操作，三者与 25 个核心业务接口合计构成 </w:t>
      </w:r>
      <w:r>
        <w:rPr>
          <w:rFonts w:ascii="Times New Roman" w:hAnsi="Times New Roman" w:eastAsia="宋体" w:cs="Times New Roman"/>
          <w:b/>
        </w:rPr>
        <w:t>26 条业务路径、28 个业务操作</w:t>
      </w:r>
      <w:r>
        <w:rPr>
          <w:rFonts w:ascii="Times New Roman" w:hAnsi="Times New Roman" w:eastAsia="宋体" w:cs="Times New Roman"/>
        </w:rPr>
        <w:t xml:space="preserve">；另有实时数据区 4 条路径（属第4章登记的边界例外，是演示增强组件，只作展示、不进证据链、不计入任何指标）与健康探针 1 条路径（GET 与 HEAD 两个操作）。按 OpenAPI 契约快照实测，接口文档共列出 </w:t>
      </w:r>
      <w:r>
        <w:rPr>
          <w:rFonts w:ascii="Times New Roman" w:hAnsi="Times New Roman" w:eastAsia="宋体" w:cs="Times New Roman"/>
          <w:b/>
        </w:rPr>
        <w:t>31 条路径、34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正文段落"/>
      </w:pPr>
      <w:r>
        <w:rPr>
          <w:rFonts w:ascii="Times New Roman" w:hAnsi="Times New Roman" w:eastAsia="宋体" w:cs="Times New Roman"/>
        </w:rPr>
        <w:t>把一次完整问答的耗时按环节拆开，如图 6-3 所示。分解项与表 6-4 的分段口径一致；可以看到大语言模型推理是主要耗时来源，检索与图谱查询合计占比很小，这与 6.6 节"检索不是瓶颈"的判断一致。</w:t>
      </w:r>
    </w:p>
    <w:p>
      <w:pPr>
        <w:pStyle w:val="图题"/>
        <w:keepNext/>
      </w:pPr>
      <w:r>
        <w:drawing>
          <wp:inline xmlns:a="http://schemas.openxmlformats.org/drawingml/2006/main" xmlns:pic="http://schemas.openxmlformats.org/drawingml/2006/picture">
            <wp:extent cx="5256000" cy="2833312"/>
            <wp:docPr id="21" name="Picture 21"/>
            <wp:cNvGraphicFramePr>
              <a:graphicFrameLocks noChangeAspect="1"/>
            </wp:cNvGraphicFramePr>
            <a:graphic>
              <a:graphicData uri="http://schemas.openxmlformats.org/drawingml/2006/picture">
                <pic:pic>
                  <pic:nvPicPr>
                    <pic:cNvPr id="0" name="图6-3-问答链路耗时分解.png"/>
                    <pic:cNvPicPr/>
                  </pic:nvPicPr>
                  <pic:blipFill>
                    <a:blip r:embed="rId29"/>
                    <a:stretch>
                      <a:fillRect/>
                    </a:stretch>
                  </pic:blipFill>
                  <pic:spPr>
                    <a:xfrm>
                      <a:off x="0" y="0"/>
                      <a:ext cx="5256000" cy="2833312"/>
                    </a:xfrm>
                    <a:prstGeom prst="rect"/>
                  </pic:spPr>
                </pic:pic>
              </a:graphicData>
            </a:graphic>
          </wp:inline>
        </w:drawing>
      </w:r>
    </w:p>
    <w:p>
      <w:pPr>
        <w:pStyle w:val="图题"/>
      </w:pPr>
      <w:r>
        <w:rPr>
          <w:rFonts w:ascii="Times New Roman" w:hAnsi="Times New Roman" w:eastAsia="宋体" w:cs="Times New Roman"/>
        </w:rPr>
        <w:t>图 6-3　问答链路的耗时分解</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正文段落"/>
      </w:pPr>
      <w:r>
        <w:rPr>
          <w:rFonts w:ascii="Times New Roman" w:hAnsi="Times New Roman" w:eastAsia="宋体" w:cs="Times New Roman"/>
        </w:rPr>
        <w:t>需要区分实验口径与线上口径：本节至 6.9 节的 A～E 五组仍以向量检索档运行，受控实验入口的默认值保持不变；线上后端已于 2026-10-20 默认切至融合档（</w:t>
      </w:r>
      <w:r>
        <w:rPr>
          <w:rFonts w:ascii="Consolas" w:hAnsi="Consolas" w:eastAsia="宋体" w:cs="Consolas"/>
        </w:rPr>
        <w:t>hybrid-zscore</w:t>
      </w:r>
      <w:r>
        <w:rPr>
          <w:rFonts w:ascii="Times New Roman" w:hAnsi="Times New Roman" w:eastAsia="宋体" w:cs="Times New Roman"/>
        </w:rPr>
        <w:t>，实现与显著性见 5.6.1 节），实验口径不变，本章全部冻结读数不受影响。</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正文段落"/>
      </w:pPr>
      <w:r>
        <w:rPr>
          <w:rFonts w:ascii="Times New Roman" w:hAnsi="Times New Roman" w:eastAsia="宋体" w:cs="Times New Roman"/>
        </w:rPr>
        <w:t>表 6-7 的读数可视化如图 6-1 所示（左：Recall@K、Complete Evidence Recall@K、MRR；右：Precision@K）。A→B 的提升来自图谱实体扩展，B→C 在 Complete Evidence Recall@K 上为负、在 Recall@K 上基本持平，这一负结果已在本节正文说明。</w:t>
      </w:r>
    </w:p>
    <w:p>
      <w:pPr>
        <w:pStyle w:val="图题"/>
        <w:keepNext/>
      </w:pPr>
      <w:r>
        <w:drawing>
          <wp:inline xmlns:a="http://schemas.openxmlformats.org/drawingml/2006/main" xmlns:pic="http://schemas.openxmlformats.org/drawingml/2006/picture">
            <wp:extent cx="5256000" cy="3367125"/>
            <wp:docPr id="22" name="Picture 22"/>
            <wp:cNvGraphicFramePr>
              <a:graphicFrameLocks noChangeAspect="1"/>
            </wp:cNvGraphicFramePr>
            <a:graphic>
              <a:graphicData uri="http://schemas.openxmlformats.org/drawingml/2006/picture">
                <pic:pic>
                  <pic:nvPicPr>
                    <pic:cNvPr id="0" name="图6-1-核心108题五组四项指标对比.png"/>
                    <pic:cNvPicPr/>
                  </pic:nvPicPr>
                  <pic:blipFill>
                    <a:blip r:embed="rId30"/>
                    <a:stretch>
                      <a:fillRect/>
                    </a:stretch>
                  </pic:blipFill>
                  <pic:spPr>
                    <a:xfrm>
                      <a:off x="0" y="0"/>
                      <a:ext cx="5256000" cy="3367125"/>
                    </a:xfrm>
                    <a:prstGeom prst="rect"/>
                  </pic:spPr>
                </pic:pic>
              </a:graphicData>
            </a:graphic>
          </wp:inline>
        </w:drawing>
      </w:r>
    </w:p>
    <w:p>
      <w:pPr>
        <w:pStyle w:val="图题"/>
      </w:pPr>
      <w:r>
        <w:rPr>
          <w:rFonts w:ascii="Times New Roman" w:hAnsi="Times New Roman" w:eastAsia="宋体" w:cs="Times New Roman"/>
        </w:rPr>
        <w:t>图 6-1　核心 108 题五组四项指标对比</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正文段落"/>
      </w:pPr>
      <w:r>
        <w:rPr>
          <w:rFonts w:ascii="Times New Roman" w:hAnsi="Times New Roman" w:eastAsia="宋体" w:cs="Times New Roman"/>
        </w:rPr>
        <w:t>三个子集的 Complete Evidence Recall@K 如图 6-2 所示（表 6-11～表 6-13 的读数）。关系型子集 A 组明显偏低，多跳型与时序型子集的组间差异较小；子集之间允许重叠，不可相加。</w:t>
      </w:r>
    </w:p>
    <w:p>
      <w:pPr>
        <w:pStyle w:val="图题"/>
        <w:keepNext/>
      </w:pPr>
      <w:r>
        <w:drawing>
          <wp:inline xmlns:a="http://schemas.openxmlformats.org/drawingml/2006/main" xmlns:pic="http://schemas.openxmlformats.org/drawingml/2006/picture">
            <wp:extent cx="5256000" cy="3161812"/>
            <wp:docPr id="23" name="Picture 23"/>
            <wp:cNvGraphicFramePr>
              <a:graphicFrameLocks noChangeAspect="1"/>
            </wp:cNvGraphicFramePr>
            <a:graphic>
              <a:graphicData uri="http://schemas.openxmlformats.org/drawingml/2006/picture">
                <pic:pic>
                  <pic:nvPicPr>
                    <pic:cNvPr id="0" name="图6-2-逐子集完整证据召回.png"/>
                    <pic:cNvPicPr/>
                  </pic:nvPicPr>
                  <pic:blipFill>
                    <a:blip r:embed="rId31"/>
                    <a:stretch>
                      <a:fillRect/>
                    </a:stretch>
                  </pic:blipFill>
                  <pic:spPr>
                    <a:xfrm>
                      <a:off x="0" y="0"/>
                      <a:ext cx="5256000" cy="3161812"/>
                    </a:xfrm>
                    <a:prstGeom prst="rect"/>
                  </pic:spPr>
                </pic:pic>
              </a:graphicData>
            </a:graphic>
          </wp:inline>
        </w:drawing>
      </w:r>
    </w:p>
    <w:p>
      <w:pPr>
        <w:pStyle w:val="图题"/>
      </w:pPr>
      <w:r>
        <w:rPr>
          <w:rFonts w:ascii="Times New Roman" w:hAnsi="Times New Roman" w:eastAsia="宋体" w:cs="Times New Roman"/>
        </w:rPr>
        <w:t>图 6-2　逐子集的完整证据召回（A／B／C）</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3"/>
      </w:pPr>
      <w:r>
        <w:rPr>
          <w:rFonts w:ascii="Times New Roman" w:hAnsi="Times New Roman" w:eastAsia="黑体" w:cs="Times New Roman"/>
        </w:rPr>
        <w:t>6.11 本章小结</w:t>
      </w:r>
    </w:p>
    <w:p>
      <w:pPr>
        <w:pStyle w:val="正文段落"/>
      </w:pPr>
      <w:r>
        <w:rPr>
          <w:rFonts w:ascii="Times New Roman" w:hAnsi="Times New Roman" w:eastAsia="宋体" w:cs="Times New Roman"/>
        </w:rPr>
        <w:t>本章在统一测试环境与冻结配置下完成抽取实验、功能测试、接口测试、性能测试、检索实验、问答对比实验、消融实验与失败案例分析。正式全量实验按 120 题（核心 108 题、压力子集 12 题）三段口径报告；核心 108 题上 Complete Evidence Recall@K 由 0.715686 提高到 0.809524，三个子集方向一致，同时如实保留 30 题预实验集的持平读数与消融中的负向读数。上述读数与已知限制共同构成第7章总结与展望的依据。下一章总结全文。</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Heading2"/>
      </w:pPr>
      <w:r>
        <w:rPr>
          <w:rFonts w:ascii="Times New Roman" w:hAnsi="Times New Roman" w:eastAsia="黑体" w:cs="Times New Roman"/>
        </w:rPr>
        <w:t>7.1 工作总结</w:t>
      </w:r>
    </w:p>
    <w:p>
      <w:pPr>
        <w:pStyle w:val="正文段落"/>
      </w:pPr>
      <w:r>
        <w:rPr>
          <w:rFonts w:ascii="Times New Roman" w:hAnsi="Times New Roman" w:eastAsia="宋体" w:cs="Times New Roman"/>
          <w:b/>
        </w:rPr>
        <w:t>（一）数据与知识层面。</w:t>
      </w:r>
      <w:r>
        <w:rPr>
          <w:rFonts w:ascii="Times New Roman" w:hAnsi="Times New Roman" w:eastAsia="宋体" w:cs="Times New Roman"/>
        </w:rPr>
        <w:t>本文把公告、监管机构公开信息、政策文件与财经新闻四类公开来源的文本加工为带版本号与数据截止时间的数据集（最终版本 v2.1 含 105 家公司、709 篇文档、5018 个文本块与 5018 条 512 维向量）；以事件为核心知识单元构建事件知识图谱，事件类型固定为八类并作为抽取、标注与评测唯一的 schema，组织公司、人物、行业、机构、政策五类实体与九条核心关系，除证据关系外的八条语义关系均携带来源文档编号、来源文本块编号与置信度三项证据属性。图谱交付口径 v2.1_v1_3 含 3607 个节点与 3614 条边，其中事件节点 1098 个。据此，RQ1 的回答是：财经事件可以获得一套可交付、可查询、可追溯的表示；其质量受命名口径与参照口径限制，金标准（三模型综合）口径下实体 F1 为 0.5090、事件 F1 为 0.1387、关系 F1 为 0.0783、时间 F1 为 0.3924，单模型参照集口径下四个读数为 0.5360、0.0972、0.1202、0.3947，两套读数判据一致、并存报告。金标准的每个条目仍由模型给出、未逐条复核，共识事件仅 49 条，故上述读数不得等同于准确率；逐条参照标注的交付要求已按作者决定撤销，不再是待办、缺口或未完成项。</w:t>
      </w:r>
    </w:p>
    <w:p>
      <w:pPr>
        <w:pStyle w:val="正文段落"/>
      </w:pPr>
      <w:r>
        <w:rPr>
          <w:rFonts w:ascii="Times New Roman" w:hAnsi="Times New Roman" w:eastAsia="宋体" w:cs="Times New Roman"/>
          <w:b/>
        </w:rPr>
        <w:t>（二）检索方法层面。</w:t>
      </w:r>
      <w:r>
        <w:rPr>
          <w:rFonts w:ascii="Times New Roman" w:hAnsi="Times New Roman" w:eastAsia="宋体" w:cs="Times New Roman"/>
        </w:rPr>
        <w:t>本文实现向量检索与图谱检索相结合的混合检索，并把最终证据集合的形成固定为不可重排的五步契约：两路取候选、合并去重、预算裁剪、保留 K 个文本块与证据排序；时间过滤必须先于合并去重，保留 K 必须先于证据排序。实现中修正了一处会使实验变量失效的缺陷：在"向量侧按原始排名保留、图谱侧新增块追加在后"的字面口径下，图谱侧新增证据在结构上永远进不了最终证据集合，实测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0；改为分层保留顺序后，图谱侧证据在每道题上至少有一个名额。正式全量实验 120 题（核心 108 题、压力子集 12 题）在 K=10、N=20、上下文预算 3600、g=2 的冻结配置下完成；核心 108 题上，Complete Evidence Recall@K 由 A 组 0.715686 提高到 C 组 0.809524，Recall@K 由 0.776144 提高到 0.873016，Precision@K 由 0.106863 提高到 0.120000，MRR 由 0.585224 提高到 0.607551，前三项配对检验 p=0.0117／0.0017／0.0023（Bonferroni 校正后仍显著），Precision@K 未纳入本轮配对检验；Answer Accuracy 在关系型、多跳型、时序型三个子集上分别由 1.5093 升至 1.6667、1.5572 升至 1.7619、1.5374 升至 1.7255（历史两模型口径下提升 0.1015／0.1744／0.1745，方向一致）。据此，RQ2 的两半均得到肯定回答，H1 成立。五组 Answer Accuracy 均值为 1.6637／1.8220／1.8091／1.7493／1.7635，Completeness 为 1.5959／1.7401／1.7521／1.6952／1.6866，Faithfulness 为 1.9646／1.9661／1.9501／1.9302／1.9288。消融显示：A→B 四项指标一致上升，Complete Evidence Recall@K 升至 0.820755；B→C 不再增益并回落至 0.809524；C→D 使该值降至 0.790476、Recall@K 降至 0.847619；D→E 的最终证据集合逐题相同（117／117）而顺序逐题不同，MRR 由 0.604588 降至 0.547653（Δ=−0.0569，p=0.2055，未达统计显著；压力子集方向反转为 Δ=+0.3673、p=0.0156）。因此 RQ3 的结论是：深度维度的作用集中在一跳，时间过滤在本语料上代价大于收益，证据排序是一条负向读数；H2 呈"一跳成立、两跳未检出增益"，其中"两跳不成立"须读作在 105 道共同有效题上未检出差异（Complete Evidence Recall@K p=1.0000、Recall@K p=0.3173、MRR 逐题差值全为 0），受不一致对仅 1 对的分辨率限制；H3 的"无关证据条数"一侧仍无对应读数，因此不判定。E 组按项目口径是独立的进一步优化实验，不并入 RQ3。需要如实说明，30 题预实验集上同一指标五组完全持平（均为 0.566667），Answer Accuracy 上 A 组 1.6778 高于 C 组 1.6667，与正式集方向相反；两套读数的题集与样本量不同，并存而不可混引。该差异可由样本量解释：n=30 时最小可检测效应量为 0.1633、约为观测 Δ=0.0891 的 1.8 倍，功效约 33.3%；n=101 时功效约 80.1%，90% 功效约需 135 题。为检验负结果是否源于图谱稀疏，本文另把含两个以上公司参与方的事件由 16 个加厚到 286 个（约 18 倍），方法组的最终证据集合在加厚前后逐题相同（30／30），结论没有翻转，其适用边界是以配置公司为主体的题目。</w:t>
      </w:r>
    </w:p>
    <w:p>
      <w:pPr>
        <w:pStyle w:val="正文段落"/>
      </w:pPr>
      <w:r>
        <w:rPr>
          <w:rFonts w:ascii="Times New Roman" w:hAnsi="Times New Roman" w:eastAsia="宋体" w:cs="Times New Roman"/>
          <w:b/>
        </w:rPr>
        <w:t>（三）系统实现层面。</w:t>
      </w:r>
      <w:r>
        <w:rPr>
          <w:rFonts w:ascii="Times New Roman" w:hAnsi="Times New Roman" w:eastAsia="宋体" w:cs="Times New Roman"/>
        </w:rPr>
        <w:t>本文完成前后端分离的可运行系统（关系数据库、图数据库与向量索引三类存储），后端按 OpenAPI 契约快照实测共 31 条路径、34 个操作，其中 26 条业务路径／28 个业务操作，另有 4 条实时演示路径与 1 条健康探针路径（GET／HEAD 两个操作）；前端实现提问、答案与证据、图谱查看与历史记录四类页面；系统对每一次回答保留证据文档与文本块编号，对使用图谱扩展的回答保留图谱路径。测试方面，截至 2026-10-20，Python 单元测试 582 例、前端单元测试 84 例全部通过（2026-10-17 的 289 例／67 例为历史基线）；集成冒烟矩阵 44 行的期望错误码与实测错误码逐行一致，10 类 16 行异常场景在异常发生后服务存活判定全部正常；问答端到端耗时在 n=30 下均值为 14.994 秒、P95 为 37.048 秒，接口可用性在"按正常节奏"与"10 并发"两种口径下成功率均为 100%，在"背靠背连续 100 次"口径下为 60%，失败的 40 次全部是服务端限流，故不构成"系统可用性为 60%"的结论。正式全量实验 120 题的有效题数为 A 113／B 118／C 117／D 117／E 117，核心 108 题口径下为 A 102／B 106／C 105／D 105／E 105；未通过答案侧冻结门禁的共 18 题次、涉及 8 道不重复题号，按未通过处理、不计入任何指标。</w:t>
      </w:r>
    </w:p>
    <w:p>
      <w:pPr>
        <w:pStyle w:val="Heading2"/>
      </w:pPr>
      <w:r>
        <w:rPr>
          <w:rFonts w:ascii="Times New Roman" w:hAnsi="Times New Roman" w:eastAsia="黑体" w:cs="Times New Roman"/>
        </w:rPr>
        <w:t>7.2 主要创新点</w:t>
      </w:r>
    </w:p>
    <w:p>
      <w:pPr>
        <w:pStyle w:val="正文段落"/>
      </w:pPr>
      <w:r>
        <w:rPr>
          <w:rFonts w:ascii="Times New Roman" w:hAnsi="Times New Roman" w:eastAsia="宋体" w:cs="Times New Roman"/>
          <w:b/>
        </w:rPr>
        <w:t>第一，面向 A 股场景的事件中心领域知识图谱。</w:t>
      </w:r>
      <w:r>
        <w:rPr>
          <w:rFonts w:ascii="Times New Roman" w:hAnsi="Times New Roman" w:eastAsia="宋体" w:cs="Times New Roman"/>
        </w:rPr>
        <w:t>以事件为独立节点，把八类财经事件固定为抽取、标注与评测的唯一 schema，组织五类实体与九条核心关系，八条语义关系携带来源文档、来源文本块与置信度三项证据属性，并以股票代码为锚实施确定性实体消歧与事件去重。</w:t>
      </w:r>
    </w:p>
    <w:p>
      <w:pPr>
        <w:pStyle w:val="引文"/>
      </w:pPr>
      <w:r>
        <w:rPr>
          <w:rFonts w:ascii="Times New Roman" w:hAnsi="Times New Roman" w:eastAsia="宋体" w:cs="Times New Roman"/>
        </w:rPr>
        <w:t>支撑证据：第4章 4.5 节（本体设计）、第5章 5.2～5.4 节（事件抽取、实体消歧、事件去重与图谱构建）、第6章表 6-2 与表 6-3（抽取读数）。</w:t>
      </w:r>
    </w:p>
    <w:p>
      <w:pPr>
        <w:pStyle w:val="正文段落"/>
      </w:pPr>
      <w:r>
        <w:rPr>
          <w:rFonts w:ascii="Times New Roman" w:hAnsi="Times New Roman" w:eastAsia="宋体" w:cs="Times New Roman"/>
          <w:b/>
        </w:rPr>
        <w:t>第二，事件知识图谱增强的 RAG 检索框架。</w:t>
      </w:r>
      <w:r>
        <w:rPr>
          <w:rFonts w:ascii="Times New Roman" w:hAnsi="Times New Roman" w:eastAsia="宋体" w:cs="Times New Roman"/>
        </w:rPr>
        <w:t>在向量检索之外引入图谱路径扩展，把候选生成、合并去重、预算裁剪、保留 K 与证据排序固定为五步证据契约；时间过滤前置于去重，分层保留保证图谱侧证据可进入最终集合，使图谱增益可在统一口径下被检验。</w:t>
      </w:r>
    </w:p>
    <w:p>
      <w:pPr>
        <w:pStyle w:val="引文"/>
      </w:pPr>
      <w:r>
        <w:rPr>
          <w:rFonts w:ascii="Times New Roman" w:hAnsi="Times New Roman" w:eastAsia="宋体" w:cs="Times New Roman"/>
        </w:rPr>
        <w:t>支撑证据：第4章 4.6 节（五步契约与 A～E 配置）、第5章 5.6 节（混合检索实现）、第6章表 6-7（核心 108 题四项检索指标）与表 6-25（逐项增加模块的效果）。</w:t>
      </w:r>
    </w:p>
    <w:p>
      <w:pPr>
        <w:pStyle w:val="正文段落"/>
      </w:pPr>
      <w:r>
        <w:rPr>
          <w:rFonts w:ascii="Times New Roman" w:hAnsi="Times New Roman" w:eastAsia="宋体" w:cs="Times New Roman"/>
          <w:b/>
        </w:rPr>
        <w:t>第三，模块化、可替换的问答流水线工程实现。</w:t>
      </w:r>
      <w:r>
        <w:rPr>
          <w:rFonts w:ascii="Times New Roman" w:hAnsi="Times New Roman" w:eastAsia="宋体" w:cs="Times New Roman"/>
        </w:rPr>
        <w:t>向量档与 hybrid-zscore 融合档可在同一入口切换，融合模块按路径懒加载且不改变 K／N／预算不变量；检索留痕、契约快照与冻结配置使五组实验可逐题复算、逐组对照。</w:t>
      </w:r>
    </w:p>
    <w:p>
      <w:pPr>
        <w:pStyle w:val="引文"/>
      </w:pPr>
      <w:r>
        <w:rPr>
          <w:rFonts w:ascii="Times New Roman" w:hAnsi="Times New Roman" w:eastAsia="宋体" w:cs="Times New Roman"/>
        </w:rPr>
        <w:t>支撑证据：第5章 5.6.1 节（可插拔融合档与参数选择）、第6章 6.7.2 节表 6-1（冻结配置）、第6章 6.7.3 节表 6-7（可复算读数）。</w:t>
      </w:r>
    </w:p>
    <w:p>
      <w:pPr>
        <w:pStyle w:val="Heading2"/>
      </w:pPr>
      <w:r>
        <w:rPr>
          <w:rFonts w:ascii="Times New Roman" w:hAnsi="Times New Roman" w:eastAsia="黑体" w:cs="Times New Roman"/>
        </w:rPr>
        <w:t>7.3 不足与展望</w:t>
      </w:r>
    </w:p>
    <w:p>
      <w:pPr>
        <w:pStyle w:val="正文段落"/>
      </w:pPr>
      <w:r>
        <w:rPr>
          <w:rFonts w:ascii="Times New Roman" w:hAnsi="Times New Roman" w:eastAsia="宋体" w:cs="Times New Roman"/>
          <w:b/>
        </w:rPr>
        <w:t>第一，数据规模与部署形态。</w:t>
      </w:r>
      <w:r>
        <w:rPr>
          <w:rFonts w:ascii="Times New Roman" w:hAnsi="Times New Roman" w:eastAsia="宋体" w:cs="Times New Roman"/>
        </w:rPr>
        <w:t>语料为 709 篇文档、5018 个文本块，时间覆盖 100 天，公司与行业按事件类型优先定向补样而非随机抽样；系统当前为单机部署，结论只适用于本数据集与本实验配置。前端浏览器走查已覆盖 Chromium 的七个任务，但未覆盖 Firefox／Safari 与真机移动端；实时数据区只是演示增强组件，不进证据链、不计入任何指标。下一步：按行业与事件类型分层扩样到更大语料，补充时间跨度更长的文档，在容器化环境中做多实例部署与并发压测，并补齐跨浏览器与真机移动端走查。</w:t>
      </w:r>
    </w:p>
    <w:p>
      <w:pPr>
        <w:pStyle w:val="正文段落"/>
      </w:pPr>
      <w:r>
        <w:rPr>
          <w:rFonts w:ascii="Times New Roman" w:hAnsi="Times New Roman" w:eastAsia="宋体" w:cs="Times New Roman"/>
          <w:b/>
        </w:rPr>
        <w:t>第二，抽取质量与标注规模。</w:t>
      </w:r>
      <w:r>
        <w:rPr>
          <w:rFonts w:ascii="Times New Roman" w:hAnsi="Times New Roman" w:eastAsia="宋体" w:cs="Times New Roman"/>
        </w:rPr>
        <w:t>金标准口径下事件 F1 为 0.1387、关系 F1 为 0.0783，三模型共识事件仅 49 条，导出物 schema 仍有 7 列恒为空串；832 个节点没有股票代码锚、813 条边至少一端是这类节点；公司提及消歧率为 43.0%（785／1825，第五阶段交付口径下另有 41.4%／755／1825 的第二口径），且没有独立确认集。文献依据为 22 篇精选库（英文奠基 6 篇、国内进展 16 篇），知识图谱方向 8 篇均为图谱构建与抽取线，不含嵌入与表示学习文献。下一步：扩大共识标注规模并增设独立确认集，对事件名采用受控模板、对关系端点施加实体身份约束，逐步补齐恒空属性列，并补充时序推理、图表示学习与 RAG 评测方向的文献。</w:t>
      </w:r>
    </w:p>
    <w:p>
      <w:pPr>
        <w:pStyle w:val="正文段落"/>
      </w:pPr>
      <w:r>
        <w:rPr>
          <w:rFonts w:ascii="Times New Roman" w:hAnsi="Times New Roman" w:eastAsia="宋体" w:cs="Times New Roman"/>
          <w:b/>
        </w:rPr>
        <w:t>第三，时间信息与多轮能力。</w:t>
      </w:r>
      <w:r>
        <w:rPr>
          <w:rFonts w:ascii="Times New Roman" w:hAnsi="Times New Roman" w:eastAsia="宋体" w:cs="Times New Roman"/>
        </w:rPr>
        <w:t>事件时间为空 544 个（占 49.5%），直接限制时序型题目的可出题量，也是 C→D 召回下降的来源之一；系统当前按单轮问答组织，未实现跨轮上下文。下一步：按已登记的 L1～L4 分层补抽与换算事件时间，持续报告非空率；在现有会话标识基础上增加多轮上下文裁剪与指代消解，并单独设计多轮场景的评测口径。</w:t>
      </w:r>
    </w:p>
    <w:p>
      <w:pPr>
        <w:pStyle w:val="正文段落"/>
      </w:pPr>
      <w:r>
        <w:rPr>
          <w:rFonts w:ascii="Times New Roman" w:hAnsi="Times New Roman" w:eastAsia="宋体" w:cs="Times New Roman"/>
          <w:b/>
        </w:rPr>
        <w:t>第四，评测口径与复现强度。</w:t>
      </w:r>
      <w:r>
        <w:rPr>
          <w:rFonts w:ascii="Times New Roman" w:hAnsi="Times New Roman" w:eastAsia="宋体" w:cs="Times New Roman"/>
        </w:rPr>
        <w:t>抽取与问答评分均为模型口径，金标准条目由模型给出、未做人工逐条复核；正式集评分每条只由主 judge 评一次、副 judge 仅覆盖 20% 样本，且参数选择与效果检验使用同一批题目，没有独立确认集。下一步：在资源允许时补充非模型抽检或人机结合评分，把 judge 覆盖面提升到全样本并重复评分，报告两次读数的差异，使 0／1／2 分成为可复现量而不是一次性读数。</w:t>
      </w:r>
    </w:p>
    <w:p>
      <w:pPr>
        <w:pStyle w:val="Heading3"/>
      </w:pPr>
      <w:r>
        <w:rPr>
          <w:rFonts w:ascii="Times New Roman" w:hAnsi="Times New Roman" w:eastAsia="黑体" w:cs="Times New Roman"/>
        </w:rPr>
        <w:t>7.4 本章小结</w:t>
      </w:r>
    </w:p>
    <w:p>
      <w:pPr>
        <w:pStyle w:val="正文段落"/>
      </w:pPr>
      <w:r>
        <w:rPr>
          <w:rFonts w:ascii="Times New Roman" w:hAnsi="Times New Roman" w:eastAsia="宋体" w:cs="Times New Roman"/>
        </w:rPr>
        <w:t>本章从数据与知识、检索方法与系统实现三个层面总结全文工作，归纳出事件中心领域知识图谱、图谱增强 RAG 检索框架与模块化问答流水线三项主要创新，并如实说明数据规模、抽取质量、时间信息、评测口径与部署形态等方面的不足及后续改进方向。全文的结论限定在本数据集与冻结实验配置之内，后续工作应优先扩大语料与独立确认集、提高抽取与时间信息质量，并推进非模型口径复核。</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本论文的引文由两部分组成：一是本课题第 2 阶段文献调研最终保留的 22 篇文献（[1]～[22]）；二是 2026-10-20 为补足中文核心期刊覆盖而新增的 7 篇文献（[23]～[29]），新增文献均已在公开学术检索平台逐条核对题名、作者、刊名、年卷期与起止页码。参考文献表按正文首次出现顺序编号，共 29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参考文献条目"/>
      </w:pPr>
      <w:r>
        <w:rPr>
          <w:rFonts w:ascii="Times New Roman" w:hAnsi="Times New Roman" w:eastAsia="宋体" w:cs="Times New Roman"/>
        </w:rPr>
        <w:t>[23] 王毅, 沈喆, 姚毅凡, 等. 领域事件图谱构建方法综述[J]. 数据分析与知识发现, 2020, 4(10): 1-13.</w:t>
      </w:r>
    </w:p>
    <w:p>
      <w:pPr>
        <w:pStyle w:val="参考文献条目"/>
      </w:pPr>
      <w:r>
        <w:rPr>
          <w:rFonts w:ascii="Times New Roman" w:hAnsi="Times New Roman" w:eastAsia="宋体" w:cs="Times New Roman"/>
        </w:rPr>
        <w:t>[24] 赵辉, 冯珊珊, 庞海婷, 等. 深度学习元事件抽取研究[J]. 长春工业大学学报, 2023, 44(2): 169-176.</w:t>
      </w:r>
    </w:p>
    <w:p>
      <w:pPr>
        <w:pStyle w:val="参考文献条目"/>
      </w:pPr>
      <w:r>
        <w:rPr>
          <w:rFonts w:ascii="Times New Roman" w:hAnsi="Times New Roman" w:eastAsia="宋体" w:cs="Times New Roman"/>
        </w:rPr>
        <w:t>[25] 杨纪星, 杨波, 朱剑林, 等. 金融领域事件因果关系发现及事理图谱构建与应用[J]. 中文信息学报, 2023, 37(7): 131-142.</w:t>
      </w:r>
    </w:p>
    <w:p>
      <w:pPr>
        <w:pStyle w:val="参考文献条目"/>
      </w:pPr>
      <w:r>
        <w:rPr>
          <w:rFonts w:ascii="Times New Roman" w:hAnsi="Times New Roman" w:eastAsia="宋体" w:cs="Times New Roman"/>
        </w:rPr>
        <w:t>[26] 曾泽凡, 胡星辰, 成清, 等. 基于预训练语言模型的知识图谱研究综述[J]. 计算机科学, 2025, 52(1): 1-33.</w:t>
      </w:r>
    </w:p>
    <w:p>
      <w:pPr>
        <w:pStyle w:val="参考文献条目"/>
      </w:pPr>
      <w:r>
        <w:rPr>
          <w:rFonts w:ascii="Times New Roman" w:hAnsi="Times New Roman" w:eastAsia="宋体" w:cs="Times New Roman"/>
        </w:rPr>
        <w:t>[27] 段宗涛, 李菲, 陈柘. 实体消歧综述[J]. 控制与决策, 2021, 36(5): 1025-1039.</w:t>
      </w:r>
    </w:p>
    <w:p>
      <w:pPr>
        <w:pStyle w:val="参考文献条目"/>
      </w:pPr>
      <w:r>
        <w:rPr>
          <w:rFonts w:ascii="Times New Roman" w:hAnsi="Times New Roman" w:eastAsia="宋体" w:cs="Times New Roman"/>
        </w:rPr>
        <w:t>[28] 钟逸, 冷彦, 陈思慧, 等. 基于大语言模型RAG架构的电池加速研究: 现状与展望[J]. 储能科学与技术, 2024, 13(9): 3214-3225.</w:t>
      </w:r>
    </w:p>
    <w:p>
      <w:pPr>
        <w:pStyle w:val="参考文献条目"/>
      </w:pPr>
      <w:r>
        <w:rPr>
          <w:rFonts w:ascii="Times New Roman" w:hAnsi="Times New Roman" w:eastAsia="宋体" w:cs="Times New Roman"/>
        </w:rPr>
        <w:t>[29] 宋晨烨, 贺筱媛, 郭圣明. 基于时序知识图谱的智能任务推断方法[J]. 系统仿真技术, 2024, 20(3): 275-281,306.</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 Id="rId33" Type="http://schemas.openxmlformats.org/officeDocument/2006/relationships/header" Target="header1.xml"/><Relationship Id="rId3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