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3631D">
      <w:pPr>
        <w:jc w:val="center"/>
      </w:pPr>
      <w:r>
        <w:rPr>
          <w:rFonts w:ascii="微软雅黑" w:hAnsi="微软雅黑"/>
          <w:b/>
          <w:color w:val="000000"/>
          <w:sz w:val="32"/>
        </w:rPr>
        <w:t>7.16 硬件研发项目启动与设计规范会议纪要</w:t>
      </w:r>
    </w:p>
    <w:p w14:paraId="34D08E52"/>
    <w:p w14:paraId="433E72E7">
      <w:r>
        <w:rPr>
          <w:rFonts w:ascii="微软雅黑" w:hAnsi="微软雅黑"/>
          <w:b w:val="0"/>
          <w:color w:val="000000"/>
          <w:sz w:val="22"/>
        </w:rPr>
        <w:t>会议时间：2026年7月16日</w:t>
      </w:r>
    </w:p>
    <w:p w14:paraId="4CD863A9">
      <w:r>
        <w:rPr>
          <w:rFonts w:ascii="微软雅黑" w:hAnsi="微软雅黑"/>
          <w:b w:val="0"/>
          <w:color w:val="000000"/>
          <w:sz w:val="22"/>
        </w:rPr>
        <w:t>会议主题：硬件系统架构规划与原理图设计规范敲定</w:t>
      </w:r>
    </w:p>
    <w:p w14:paraId="0B9BECE5">
      <w:r>
        <w:rPr>
          <w:rFonts w:ascii="微软雅黑" w:hAnsi="微软雅黑"/>
          <w:b w:val="0"/>
          <w:color w:val="000000"/>
          <w:sz w:val="22"/>
        </w:rPr>
        <w:t>参会人员：硬件研发团队成员</w:t>
      </w:r>
    </w:p>
    <w:p w14:paraId="062A6569"/>
    <w:p w14:paraId="2D2AF82B">
      <w:pPr>
        <w:pStyle w:val="4"/>
        <w:rPr>
          <w:rFonts w:hint="eastAsia" w:ascii="微软雅黑" w:hAnsi="微软雅黑" w:eastAsia="微软雅黑" w:cs="微软雅黑"/>
          <w:color w:val="000000"/>
          <w:sz w:val="26"/>
        </w:rPr>
      </w:pPr>
      <w:r>
        <w:rPr>
          <w:rFonts w:hint="eastAsia" w:ascii="微软雅黑" w:hAnsi="微软雅黑" w:eastAsia="微软雅黑" w:cs="微软雅黑"/>
          <w:color w:val="000000"/>
          <w:sz w:val="26"/>
        </w:rPr>
        <w:t>一、会议目标</w:t>
      </w:r>
    </w:p>
    <w:p w14:paraId="3015D51F">
      <w:r>
        <w:rPr>
          <w:rFonts w:ascii="微软雅黑" w:hAnsi="微软雅黑"/>
          <w:b w:val="0"/>
          <w:color w:val="000000"/>
          <w:sz w:val="22"/>
        </w:rPr>
        <w:t>统一下一阶段的硬件设计思路，明确原理图绘制的命名规范、解耦原则以及调试接口的预留标准，并梳理近期核心任务。</w:t>
      </w:r>
    </w:p>
    <w:p w14:paraId="2783C350">
      <w:pPr>
        <w:pStyle w:val="4"/>
        <w:rPr>
          <w:rFonts w:hint="eastAsia" w:ascii="微软雅黑" w:hAnsi="微软雅黑" w:eastAsia="微软雅黑" w:cs="微软雅黑"/>
          <w:color w:val="000000"/>
          <w:sz w:val="26"/>
        </w:rPr>
      </w:pPr>
      <w:r>
        <w:rPr>
          <w:rFonts w:hint="eastAsia" w:ascii="微软雅黑" w:hAnsi="微软雅黑" w:eastAsia="微软雅黑" w:cs="微软雅黑"/>
          <w:color w:val="000000"/>
          <w:sz w:val="26"/>
        </w:rPr>
        <w:t>二、核心讨论与决议</w:t>
      </w:r>
      <w:bookmarkStart w:id="0" w:name="_GoBack"/>
      <w:bookmarkEnd w:id="0"/>
    </w:p>
    <w:p w14:paraId="650FFA95">
      <w:r>
        <w:rPr>
          <w:rFonts w:ascii="微软雅黑" w:hAnsi="微软雅黑"/>
          <w:b/>
          <w:color w:val="000000"/>
          <w:sz w:val="22"/>
        </w:rPr>
        <w:t>1. 制图解耦原则（核心要求）</w:t>
      </w:r>
    </w:p>
    <w:p w14:paraId="087BE53C">
      <w:pPr>
        <w:pStyle w:val="16"/>
      </w:pPr>
      <w:r>
        <w:rPr>
          <w:rFonts w:ascii="微软雅黑" w:hAnsi="微软雅黑"/>
          <w:color w:val="000000"/>
          <w:sz w:val="22"/>
        </w:rPr>
        <w:t>原理图绘制必须做到高内聚、低耦合。</w:t>
      </w:r>
    </w:p>
    <w:p w14:paraId="22D7609B">
      <w:pPr>
        <w:pStyle w:val="16"/>
      </w:pPr>
      <w:r>
        <w:rPr>
          <w:rFonts w:ascii="微软雅黑" w:hAnsi="微软雅黑"/>
          <w:color w:val="000000"/>
          <w:sz w:val="22"/>
        </w:rPr>
        <w:t>MCU 控制端与外围硬件电路必须在图纸上明确分开，严禁混杂在一起。</w:t>
      </w:r>
    </w:p>
    <w:p w14:paraId="3F118A0A">
      <w:r>
        <w:rPr>
          <w:rFonts w:ascii="微软雅黑" w:hAnsi="微软雅黑"/>
          <w:b/>
          <w:color w:val="000000"/>
          <w:sz w:val="22"/>
        </w:rPr>
        <w:t>2. 网络标签命名规范</w:t>
      </w:r>
    </w:p>
    <w:p w14:paraId="216E07C7">
      <w:pPr>
        <w:pStyle w:val="16"/>
      </w:pPr>
      <w:r>
        <w:rPr>
          <w:rFonts w:ascii="微软雅黑" w:hAnsi="微软雅黑"/>
          <w:color w:val="000000"/>
          <w:sz w:val="22"/>
        </w:rPr>
        <w:t>红色字体：专门用于标识 MCU 端的端口与电气连线。</w:t>
      </w:r>
    </w:p>
    <w:p w14:paraId="04306F29">
      <w:pPr>
        <w:pStyle w:val="16"/>
      </w:pPr>
      <w:r>
        <w:rPr>
          <w:rFonts w:ascii="微软雅黑" w:hAnsi="微软雅黑"/>
          <w:color w:val="000000"/>
          <w:sz w:val="22"/>
        </w:rPr>
        <w:t>黑色字体：专门用于标识外围电路端的设计。</w:t>
      </w:r>
    </w:p>
    <w:p w14:paraId="4650EBBD">
      <w:r>
        <w:rPr>
          <w:rFonts w:ascii="微软雅黑" w:hAnsi="微软雅黑"/>
          <w:b/>
          <w:color w:val="000000"/>
          <w:sz w:val="22"/>
        </w:rPr>
        <w:t>3. 测试与调试预留</w:t>
      </w:r>
    </w:p>
    <w:p w14:paraId="03F9DB52">
      <w:pPr>
        <w:pStyle w:val="16"/>
      </w:pPr>
      <w:r>
        <w:rPr>
          <w:rFonts w:ascii="微软雅黑" w:hAnsi="微软雅黑"/>
          <w:color w:val="000000"/>
          <w:sz w:val="22"/>
        </w:rPr>
        <w:t>全引脚引出：MCU 的所有引脚必须全部引出，方便后续飞线、接测试仪器或功能扩展。</w:t>
      </w:r>
    </w:p>
    <w:p w14:paraId="586824E0">
      <w:pPr>
        <w:pStyle w:val="16"/>
      </w:pPr>
      <w:r>
        <w:rPr>
          <w:rFonts w:ascii="微软雅黑" w:hAnsi="微软雅黑"/>
          <w:color w:val="000000"/>
          <w:sz w:val="22"/>
        </w:rPr>
        <w:t>测试点（Test Points）：在关键电路上（如采样点等）必须预留专用的测试端口或排针。</w:t>
      </w:r>
    </w:p>
    <w:p w14:paraId="18CB2022">
      <w:pPr>
        <w:pStyle w:val="16"/>
      </w:pPr>
      <w:r>
        <w:rPr>
          <w:rFonts w:ascii="微软雅黑" w:hAnsi="微软雅黑"/>
          <w:color w:val="000000"/>
          <w:sz w:val="22"/>
        </w:rPr>
        <w:t>状态指示灯（LED）：系统必须设计 LED 指示灯电路（如上电指示、故障报错提示等），底线是至少保留一个状态指示灯。</w:t>
      </w:r>
    </w:p>
    <w:p w14:paraId="252102C1">
      <w:r>
        <w:rPr>
          <w:rFonts w:ascii="微软雅黑" w:hAnsi="微软雅黑"/>
          <w:b/>
          <w:color w:val="000000"/>
          <w:sz w:val="22"/>
        </w:rPr>
        <w:t>4. 电机驱动信号规划</w:t>
      </w:r>
    </w:p>
    <w:p w14:paraId="5F117064">
      <w:pPr>
        <w:pStyle w:val="16"/>
      </w:pPr>
      <w:r>
        <w:rPr>
          <w:rFonts w:ascii="微软雅黑" w:hAnsi="微软雅黑"/>
          <w:color w:val="000000"/>
          <w:sz w:val="22"/>
        </w:rPr>
        <w:t>确认控制电机需要预留 6 组互补的 PWM 波信号，需在 MCU 引脚分配时优先考虑。</w:t>
      </w:r>
    </w:p>
    <w:p w14:paraId="08EF5BD7">
      <w:pPr>
        <w:pStyle w:val="4"/>
        <w:rPr>
          <w:rFonts w:hint="eastAsia" w:ascii="微软雅黑" w:hAnsi="微软雅黑" w:eastAsia="微软雅黑" w:cs="微软雅黑"/>
          <w:color w:val="000000"/>
          <w:sz w:val="26"/>
        </w:rPr>
      </w:pPr>
      <w:r>
        <w:rPr>
          <w:rFonts w:hint="eastAsia" w:ascii="微软雅黑" w:hAnsi="微软雅黑" w:eastAsia="微软雅黑" w:cs="微软雅黑"/>
          <w:color w:val="000000"/>
          <w:sz w:val="26"/>
        </w:rPr>
        <w:t>三、待办任务清单（Action Items）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9C05C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918F4D">
            <w:pPr>
              <w:spacing w:after="0" w:line="240" w:lineRule="auto"/>
            </w:pPr>
            <w:r>
              <w:rPr>
                <w:rFonts w:ascii="微软雅黑" w:hAnsi="微软雅黑"/>
                <w:b/>
                <w:color w:val="000000"/>
                <w:sz w:val="20"/>
              </w:rPr>
              <w:t>任务说明</w:t>
            </w:r>
          </w:p>
        </w:tc>
        <w:tc>
          <w:tcPr>
            <w:tcW w:w="2160" w:type="dxa"/>
          </w:tcPr>
          <w:p w14:paraId="70F7EF86">
            <w:pPr>
              <w:spacing w:after="0" w:line="240" w:lineRule="auto"/>
            </w:pPr>
            <w:r>
              <w:rPr>
                <w:rFonts w:ascii="微软雅黑" w:hAnsi="微软雅黑"/>
                <w:b/>
                <w:color w:val="000000"/>
                <w:sz w:val="20"/>
              </w:rPr>
              <w:t>交付要求 / 建议工具</w:t>
            </w:r>
          </w:p>
        </w:tc>
        <w:tc>
          <w:tcPr>
            <w:tcW w:w="2160" w:type="dxa"/>
          </w:tcPr>
          <w:p w14:paraId="4CA5F482">
            <w:pPr>
              <w:spacing w:after="0" w:line="240" w:lineRule="auto"/>
            </w:pPr>
            <w:r>
              <w:rPr>
                <w:rFonts w:ascii="微软雅黑" w:hAnsi="微软雅黑"/>
                <w:b/>
                <w:color w:val="000000"/>
                <w:sz w:val="20"/>
              </w:rPr>
              <w:t>截止时间</w:t>
            </w:r>
          </w:p>
        </w:tc>
        <w:tc>
          <w:tcPr>
            <w:tcW w:w="2160" w:type="dxa"/>
          </w:tcPr>
          <w:p w14:paraId="5B804919">
            <w:pPr>
              <w:spacing w:after="0" w:line="240" w:lineRule="auto"/>
            </w:pPr>
            <w:r>
              <w:rPr>
                <w:rFonts w:ascii="微软雅黑" w:hAnsi="微软雅黑"/>
                <w:b/>
                <w:color w:val="000000"/>
                <w:sz w:val="20"/>
              </w:rPr>
              <w:t>责任人</w:t>
            </w:r>
          </w:p>
        </w:tc>
      </w:tr>
      <w:tr w14:paraId="0590D3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C557D3">
            <w:pPr>
              <w:spacing w:after="0" w:line="240" w:lineRule="auto"/>
            </w:pPr>
            <w:r>
              <w:rPr>
                <w:rFonts w:ascii="微软雅黑" w:hAnsi="微软雅黑"/>
                <w:color w:val="000000"/>
                <w:sz w:val="20"/>
              </w:rPr>
              <w:t>系统架构图绘制</w:t>
            </w:r>
          </w:p>
        </w:tc>
        <w:tc>
          <w:tcPr>
            <w:tcW w:w="2160" w:type="dxa"/>
          </w:tcPr>
          <w:p w14:paraId="7B01D397">
            <w:pPr>
              <w:spacing w:after="0" w:line="240" w:lineRule="auto"/>
            </w:pPr>
            <w:r>
              <w:rPr>
                <w:rFonts w:ascii="微软雅黑" w:hAnsi="微软雅黑"/>
                <w:color w:val="000000"/>
                <w:sz w:val="20"/>
              </w:rPr>
              <w:t>明确罗列所有硬件模块；可先手绘草图理清思路，最终使用 draw.io 或其他软件输出电子版架构图。</w:t>
            </w:r>
          </w:p>
        </w:tc>
        <w:tc>
          <w:tcPr>
            <w:tcW w:w="2160" w:type="dxa"/>
          </w:tcPr>
          <w:p w14:paraId="5C50BCEF">
            <w:pPr>
              <w:spacing w:after="0" w:line="240" w:lineRule="auto"/>
            </w:pPr>
            <w:r>
              <w:rPr>
                <w:rFonts w:ascii="微软雅黑" w:hAnsi="微软雅黑"/>
                <w:color w:val="000000"/>
                <w:sz w:val="20"/>
              </w:rPr>
              <w:t>明天优先完成</w:t>
            </w:r>
          </w:p>
        </w:tc>
        <w:tc>
          <w:tcPr>
            <w:tcW w:w="2160" w:type="dxa"/>
          </w:tcPr>
          <w:p w14:paraId="5122069C">
            <w:pPr>
              <w:spacing w:after="0" w:line="240" w:lineRule="auto"/>
            </w:pPr>
            <w:r>
              <w:rPr>
                <w:rFonts w:ascii="微软雅黑" w:hAnsi="微软雅黑"/>
                <w:color w:val="000000"/>
                <w:sz w:val="20"/>
              </w:rPr>
              <w:t>（执行人）</w:t>
            </w:r>
          </w:p>
        </w:tc>
      </w:tr>
      <w:tr w14:paraId="26E80E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AA16DF">
            <w:pPr>
              <w:spacing w:after="0" w:line="240" w:lineRule="auto"/>
            </w:pPr>
            <w:r>
              <w:rPr>
                <w:rFonts w:ascii="微软雅黑" w:hAnsi="微软雅黑"/>
                <w:color w:val="000000"/>
                <w:sz w:val="20"/>
              </w:rPr>
              <w:t>外设模块方案收集</w:t>
            </w:r>
          </w:p>
        </w:tc>
        <w:tc>
          <w:tcPr>
            <w:tcW w:w="2160" w:type="dxa"/>
          </w:tcPr>
          <w:p w14:paraId="75B4A9D1">
            <w:pPr>
              <w:spacing w:after="0" w:line="240" w:lineRule="auto"/>
            </w:pPr>
            <w:r>
              <w:rPr>
                <w:rFonts w:ascii="微软雅黑" w:hAnsi="微软雅黑"/>
                <w:color w:val="000000"/>
                <w:sz w:val="20"/>
              </w:rPr>
              <w:t>针对需要的电源转换、传感器等外围模块，在网上查找成熟的参考方案并整理备用。</w:t>
            </w:r>
          </w:p>
        </w:tc>
        <w:tc>
          <w:tcPr>
            <w:tcW w:w="2160" w:type="dxa"/>
          </w:tcPr>
          <w:p w14:paraId="2E990286">
            <w:pPr>
              <w:spacing w:after="0" w:line="240" w:lineRule="auto"/>
            </w:pPr>
            <w:r>
              <w:rPr>
                <w:rFonts w:ascii="微软雅黑" w:hAnsi="微软雅黑"/>
                <w:color w:val="000000"/>
                <w:sz w:val="20"/>
              </w:rPr>
              <w:t>本周内</w:t>
            </w:r>
          </w:p>
        </w:tc>
        <w:tc>
          <w:tcPr>
            <w:tcW w:w="2160" w:type="dxa"/>
          </w:tcPr>
          <w:p w14:paraId="5DFA91E4">
            <w:pPr>
              <w:spacing w:after="0" w:line="240" w:lineRule="auto"/>
            </w:pPr>
            <w:r>
              <w:rPr>
                <w:rFonts w:ascii="微软雅黑" w:hAnsi="微软雅黑"/>
                <w:color w:val="000000"/>
                <w:sz w:val="20"/>
              </w:rPr>
              <w:t>（执行人）</w:t>
            </w:r>
          </w:p>
        </w:tc>
      </w:tr>
      <w:tr w14:paraId="17E0D2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90BF36">
            <w:pPr>
              <w:spacing w:after="0" w:line="240" w:lineRule="auto"/>
            </w:pPr>
            <w:r>
              <w:rPr>
                <w:rFonts w:ascii="微软雅黑" w:hAnsi="微软雅黑"/>
                <w:color w:val="000000"/>
                <w:sz w:val="20"/>
              </w:rPr>
              <w:t>MCU 最小系统原理图</w:t>
            </w:r>
          </w:p>
        </w:tc>
        <w:tc>
          <w:tcPr>
            <w:tcW w:w="2160" w:type="dxa"/>
          </w:tcPr>
          <w:p w14:paraId="4630C932">
            <w:pPr>
              <w:spacing w:after="0" w:line="240" w:lineRule="auto"/>
            </w:pPr>
            <w:r>
              <w:rPr>
                <w:rFonts w:ascii="微软雅黑" w:hAnsi="微软雅黑"/>
                <w:color w:val="000000"/>
                <w:sz w:val="20"/>
              </w:rPr>
              <w:t>严格按照会议制定的红黑字体解耦和全引脚引出规范开始初步绘制。</w:t>
            </w:r>
          </w:p>
        </w:tc>
        <w:tc>
          <w:tcPr>
            <w:tcW w:w="2160" w:type="dxa"/>
          </w:tcPr>
          <w:p w14:paraId="35E44EB9">
            <w:pPr>
              <w:spacing w:after="0" w:line="240" w:lineRule="auto"/>
            </w:pPr>
            <w:r>
              <w:rPr>
                <w:rFonts w:ascii="微软雅黑" w:hAnsi="微软雅黑"/>
                <w:color w:val="000000"/>
                <w:sz w:val="20"/>
              </w:rPr>
              <w:t>待定</w:t>
            </w:r>
          </w:p>
        </w:tc>
        <w:tc>
          <w:tcPr>
            <w:tcW w:w="2160" w:type="dxa"/>
          </w:tcPr>
          <w:p w14:paraId="365F5C04">
            <w:pPr>
              <w:spacing w:after="0" w:line="240" w:lineRule="auto"/>
            </w:pPr>
            <w:r>
              <w:rPr>
                <w:rFonts w:ascii="微软雅黑" w:hAnsi="微软雅黑"/>
                <w:color w:val="000000"/>
                <w:sz w:val="20"/>
              </w:rPr>
              <w:t>（执行人）</w:t>
            </w:r>
          </w:p>
        </w:tc>
      </w:tr>
    </w:tbl>
    <w:p w14:paraId="316EF61B"/>
    <w:p w14:paraId="644BC3D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  <w:sz w:val="26"/>
        </w:rPr>
        <w:t>四、遗留与待定问题</w:t>
      </w:r>
    </w:p>
    <w:p w14:paraId="349AB0C9">
      <w:pPr>
        <w:pStyle w:val="16"/>
      </w:pPr>
      <w:r>
        <w:rPr>
          <w:rFonts w:ascii="微软雅黑" w:hAnsi="微软雅黑"/>
          <w:color w:val="000000"/>
          <w:sz w:val="22"/>
        </w:rPr>
        <w:t>具体电机驱动电路（如三相逆变桥）的芯片选型，需在架构图完成后进一步确认。</w:t>
      </w:r>
    </w:p>
    <w:p w14:paraId="7D8F4B4A">
      <w:pPr>
        <w:pStyle w:val="16"/>
      </w:pPr>
      <w:r>
        <w:rPr>
          <w:rFonts w:ascii="微软雅黑" w:hAnsi="微软雅黑"/>
          <w:color w:val="000000"/>
          <w:sz w:val="22"/>
        </w:rPr>
        <w:t>特定电源转换电路（稳压模块）的具体芯片选型，需在架构图完成后进一步确认。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思源宋體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思源宋體">
    <w:panose1 w:val="02020400000000000000"/>
    <w:charset w:val="88"/>
    <w:family w:val="auto"/>
    <w:pitch w:val="default"/>
    <w:sig w:usb0="30000083" w:usb1="2BDF3C10" w:usb2="00000016" w:usb3="00000000" w:csb0="603A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05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693</Words>
  <Characters>757</Characters>
  <Lines>0</Lines>
  <Paragraphs>0</Paragraphs>
  <TotalTime>1</TotalTime>
  <ScaleCrop>false</ScaleCrop>
  <LinksUpToDate>false</LinksUpToDate>
  <CharactersWithSpaces>782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朱mw</cp:lastModifiedBy>
  <dcterms:modified xsi:type="dcterms:W3CDTF">2026-07-21T12:40:39Z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eyJoZGlkIjoiYjY1YTRlM2E0YjUxODVhMGUwYzVhMzZmNzhlZmIzYjEiLCJ1c2VySWQiOiI0MDYzMjMxNTUifQ==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BA15B6B4123F4ECF81A682665D79F3ED_12</vt:lpwstr>
  </property>
</Properties>
</file>