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FB39D3">
      <w:pPr>
        <w:jc w:val="center"/>
      </w:pPr>
      <w:r>
        <w:rPr>
          <w:rFonts w:ascii="微软雅黑" w:hAnsi="微软雅黑"/>
          <w:b/>
          <w:color w:val="000000"/>
          <w:sz w:val="32"/>
        </w:rPr>
        <w:t>7.19 平衡小车项目进度汇报与硬件原理图设计规划会议纪要</w:t>
      </w:r>
    </w:p>
    <w:p w14:paraId="1205C4F7"/>
    <w:p w14:paraId="500912BD">
      <w:r>
        <w:rPr>
          <w:rFonts w:ascii="微软雅黑" w:hAnsi="微软雅黑"/>
          <w:b w:val="0"/>
          <w:color w:val="000000"/>
          <w:sz w:val="22"/>
        </w:rPr>
        <w:t>会议时间：2026年7月19日</w:t>
      </w:r>
    </w:p>
    <w:p w14:paraId="69078E38">
      <w:r>
        <w:rPr>
          <w:rFonts w:ascii="微软雅黑" w:hAnsi="微软雅黑"/>
          <w:b w:val="0"/>
          <w:color w:val="000000"/>
          <w:sz w:val="22"/>
        </w:rPr>
        <w:t>会议主题：平衡小车项目进度汇报与硬件原理图设计规划</w:t>
      </w:r>
    </w:p>
    <w:p w14:paraId="7A6FBCD4"/>
    <w:p w14:paraId="61C38F39">
      <w:pPr>
        <w:pStyle w:val="4"/>
      </w:pPr>
      <w:r>
        <w:rPr>
          <w:rFonts w:ascii="微软雅黑" w:hAnsi="微软雅黑"/>
          <w:color w:val="000000"/>
          <w:sz w:val="26"/>
        </w:rPr>
        <w:t>一、当前进度盘点</w:t>
      </w:r>
    </w:p>
    <w:p w14:paraId="175B705E">
      <w:pPr>
        <w:pStyle w:val="16"/>
      </w:pPr>
      <w:r>
        <w:rPr>
          <w:rFonts w:ascii="微软雅黑" w:hAnsi="微软雅黑"/>
          <w:color w:val="000000"/>
          <w:sz w:val="22"/>
        </w:rPr>
        <w:t>系统架构图已初步完成绘制。</w:t>
      </w:r>
    </w:p>
    <w:p w14:paraId="319B63A6">
      <w:pPr>
        <w:pStyle w:val="16"/>
      </w:pPr>
      <w:r>
        <w:rPr>
          <w:rFonts w:ascii="微软雅黑" w:hAnsi="微软雅黑"/>
          <w:color w:val="000000"/>
          <w:sz w:val="22"/>
        </w:rPr>
        <w:t>电源防反接电路以及部分原理图设计已初步搭建完毕。</w:t>
      </w:r>
    </w:p>
    <w:p w14:paraId="4883CB01">
      <w:pPr>
        <w:pStyle w:val="16"/>
      </w:pPr>
      <w:r>
        <w:rPr>
          <w:rFonts w:ascii="微软雅黑" w:hAnsi="微软雅黑"/>
          <w:color w:val="000000"/>
          <w:sz w:val="22"/>
        </w:rPr>
        <w:t>单片机外围电路的设计框架已经基本理清。</w:t>
      </w:r>
    </w:p>
    <w:p w14:paraId="754CF7A9">
      <w:pPr>
        <w:pStyle w:val="4"/>
      </w:pPr>
      <w:r>
        <w:rPr>
          <w:rFonts w:ascii="微软雅黑" w:hAnsi="微软雅黑"/>
          <w:color w:val="000000"/>
          <w:sz w:val="26"/>
        </w:rPr>
        <w:t>二、核心技术决议</w:t>
      </w:r>
    </w:p>
    <w:p w14:paraId="1A2A9A70">
      <w:r>
        <w:rPr>
          <w:rFonts w:ascii="微软雅黑" w:hAnsi="微软雅黑"/>
          <w:b/>
          <w:color w:val="000000"/>
          <w:sz w:val="22"/>
        </w:rPr>
        <w:t>1. 传感器与通信配置</w:t>
      </w:r>
    </w:p>
    <w:p w14:paraId="6480DA44">
      <w:pPr>
        <w:pStyle w:val="16"/>
      </w:pPr>
      <w:r>
        <w:rPr>
          <w:rFonts w:ascii="微软雅黑" w:hAnsi="微软雅黑"/>
          <w:color w:val="000000"/>
          <w:sz w:val="22"/>
        </w:rPr>
        <w:t>姿态传感器（IMU）：需在板子上预留测试端口或独立小板，采用 SPI（串行外设接口）通信。</w:t>
      </w:r>
    </w:p>
    <w:p w14:paraId="3E6ACDB4">
      <w:pPr>
        <w:pStyle w:val="16"/>
      </w:pPr>
      <w:r>
        <w:rPr>
          <w:rFonts w:ascii="微软雅黑" w:hAnsi="微软雅黑"/>
          <w:color w:val="000000"/>
          <w:sz w:val="22"/>
        </w:rPr>
        <w:t>角度编码器：共使用三个——两个用于电机控制，一个用于倒立摆角度检测，均采用 SPI</w:t>
      </w:r>
      <w:bookmarkStart w:id="0" w:name="_GoBack"/>
      <w:bookmarkEnd w:id="0"/>
      <w:r>
        <w:rPr>
          <w:rFonts w:ascii="微软雅黑" w:hAnsi="微软雅黑"/>
          <w:color w:val="000000"/>
          <w:sz w:val="22"/>
        </w:rPr>
        <w:t>通信。</w:t>
      </w:r>
    </w:p>
    <w:p w14:paraId="2A4FADEA">
      <w:pPr>
        <w:pStyle w:val="16"/>
      </w:pPr>
      <w:r>
        <w:rPr>
          <w:rFonts w:ascii="微软雅黑" w:hAnsi="微软雅黑"/>
          <w:color w:val="000000"/>
          <w:sz w:val="22"/>
        </w:rPr>
        <w:t>电机编码器：采用一主多从的软件模拟通信方式。</w:t>
      </w:r>
    </w:p>
    <w:p w14:paraId="4EEED9A5">
      <w:r>
        <w:rPr>
          <w:rFonts w:ascii="微软雅黑" w:hAnsi="微软雅黑"/>
          <w:b/>
          <w:color w:val="000000"/>
          <w:sz w:val="22"/>
        </w:rPr>
        <w:t>2. 模数转换器（ADC）资源分配</w:t>
      </w:r>
    </w:p>
    <w:p w14:paraId="5D7174F3">
      <w:pPr>
        <w:pStyle w:val="16"/>
      </w:pPr>
      <w:r>
        <w:rPr>
          <w:rFonts w:ascii="微软雅黑" w:hAnsi="微软雅黑"/>
          <w:color w:val="000000"/>
          <w:sz w:val="22"/>
        </w:rPr>
        <w:t>确认使用三个 ADC 通道，包含电池分压检测等核心数据采集。</w:t>
      </w:r>
    </w:p>
    <w:p w14:paraId="419E80B8">
      <w:r>
        <w:rPr>
          <w:rFonts w:ascii="微软雅黑" w:hAnsi="微软雅黑"/>
          <w:b/>
          <w:color w:val="000000"/>
          <w:sz w:val="22"/>
        </w:rPr>
        <w:t>3. 电源与通信接口</w:t>
      </w:r>
    </w:p>
    <w:p w14:paraId="0DB1DFB5">
      <w:pPr>
        <w:pStyle w:val="16"/>
      </w:pPr>
      <w:r>
        <w:rPr>
          <w:rFonts w:ascii="微软雅黑" w:hAnsi="微软雅黑"/>
          <w:color w:val="000000"/>
          <w:sz w:val="22"/>
        </w:rPr>
        <w:t>供电方案：支持 12V ~ 24V 宽电压输入。</w:t>
      </w:r>
    </w:p>
    <w:p w14:paraId="56F3A316">
      <w:pPr>
        <w:pStyle w:val="16"/>
      </w:pPr>
      <w:r>
        <w:rPr>
          <w:rFonts w:ascii="微软雅黑" w:hAnsi="微软雅黑"/>
          <w:color w:val="000000"/>
          <w:sz w:val="22"/>
        </w:rPr>
        <w:t>电源转换：采用降压芯片转 5V，再通过线性稳压器（LDO）转 3.3V 的方案。</w:t>
      </w:r>
    </w:p>
    <w:p w14:paraId="30593A00">
      <w:pPr>
        <w:pStyle w:val="16"/>
      </w:pPr>
      <w:r>
        <w:rPr>
          <w:rFonts w:ascii="微软雅黑" w:hAnsi="微软雅黑"/>
          <w:color w:val="000000"/>
          <w:sz w:val="22"/>
        </w:rPr>
        <w:t>有线串口通信：必须在板子上保留有线串口通信转换电路。</w:t>
      </w:r>
    </w:p>
    <w:p w14:paraId="04FC3567">
      <w:pPr>
        <w:pStyle w:val="16"/>
      </w:pPr>
      <w:r>
        <w:rPr>
          <w:rFonts w:ascii="微软雅黑" w:hAnsi="微软雅黑"/>
          <w:color w:val="000000"/>
          <w:sz w:val="22"/>
        </w:rPr>
        <w:t>无线模块：暂不考虑蓝牙等无线模块，以保证调试的实时性和稳定性。</w:t>
      </w:r>
    </w:p>
    <w:p w14:paraId="72F94861">
      <w:r>
        <w:rPr>
          <w:rFonts w:ascii="微软雅黑" w:hAnsi="微软雅黑"/>
          <w:b/>
          <w:color w:val="000000"/>
          <w:sz w:val="22"/>
        </w:rPr>
        <w:t>4. 测试与调试预留</w:t>
      </w:r>
    </w:p>
    <w:p w14:paraId="0A01430C">
      <w:pPr>
        <w:pStyle w:val="16"/>
      </w:pPr>
      <w:r>
        <w:rPr>
          <w:rFonts w:ascii="微软雅黑" w:hAnsi="微软雅黑"/>
          <w:color w:val="000000"/>
          <w:sz w:val="22"/>
        </w:rPr>
        <w:t>单片机所有引脚需全部引出，以便后续连接示波器或逻辑分析仪进行调试验证。</w:t>
      </w:r>
    </w:p>
    <w:p w14:paraId="2A7B687E">
      <w:pPr>
        <w:pStyle w:val="16"/>
      </w:pPr>
      <w:r>
        <w:rPr>
          <w:rFonts w:ascii="微软雅黑" w:hAnsi="微软雅黑"/>
          <w:color w:val="000000"/>
          <w:sz w:val="22"/>
        </w:rPr>
        <w:t>板子上必须增加 LED作为状态指示灯，用于提示程序运行状态或故障报错。</w:t>
      </w:r>
    </w:p>
    <w:p w14:paraId="773C5870">
      <w:r>
        <w:rPr>
          <w:rFonts w:ascii="微软雅黑" w:hAnsi="微软雅黑"/>
          <w:b/>
          <w:color w:val="000000"/>
          <w:sz w:val="22"/>
        </w:rPr>
        <w:t>5. 电机驱动</w:t>
      </w:r>
    </w:p>
    <w:p w14:paraId="3D91FE37">
      <w:pPr>
        <w:pStyle w:val="16"/>
      </w:pPr>
      <w:r>
        <w:rPr>
          <w:rFonts w:ascii="微软雅黑" w:hAnsi="微软雅黑"/>
          <w:color w:val="000000"/>
          <w:sz w:val="22"/>
        </w:rPr>
        <w:t>明确需要 6 组互补的 PWM（脉冲宽度调制）信号来驱动电机。</w:t>
      </w:r>
    </w:p>
    <w:p w14:paraId="7B6B6890">
      <w:pPr>
        <w:pStyle w:val="16"/>
      </w:pPr>
      <w:r>
        <w:rPr>
          <w:rFonts w:ascii="微软雅黑" w:hAnsi="微软雅黑"/>
          <w:color w:val="000000"/>
          <w:sz w:val="22"/>
        </w:rPr>
        <w:t>需在引脚分配时优先规划。</w:t>
      </w:r>
    </w:p>
    <w:p w14:paraId="41949EB6">
      <w:pPr>
        <w:pStyle w:val="4"/>
      </w:pPr>
      <w:r>
        <w:rPr>
          <w:rFonts w:ascii="微软雅黑" w:hAnsi="微软雅黑"/>
          <w:color w:val="000000"/>
          <w:sz w:val="26"/>
        </w:rPr>
        <w:t>三、待办任务清单（Action Items）</w:t>
      </w:r>
    </w:p>
    <w:p w14:paraId="0630EF53">
      <w:r>
        <w:rPr>
          <w:rFonts w:ascii="微软雅黑" w:hAnsi="微软雅黑"/>
          <w:b/>
          <w:color w:val="000000"/>
          <w:sz w:val="22"/>
        </w:rPr>
        <w:t>1. 完善架构图</w:t>
      </w:r>
    </w:p>
    <w:p w14:paraId="0CFAD51B">
      <w:r>
        <w:rPr>
          <w:rFonts w:ascii="微软雅黑" w:hAnsi="微软雅黑"/>
          <w:b w:val="0"/>
          <w:color w:val="000000"/>
          <w:sz w:val="22"/>
        </w:rPr>
        <w:t xml:space="preserve">    细化各个硬件模块的具体内容，可借助辅助工具或绘图软件完成最终的清晰版本。</w:t>
      </w:r>
    </w:p>
    <w:p w14:paraId="63B437FA">
      <w:r>
        <w:rPr>
          <w:rFonts w:ascii="微软雅黑" w:hAnsi="微软雅黑"/>
          <w:b/>
          <w:color w:val="000000"/>
          <w:sz w:val="22"/>
        </w:rPr>
        <w:t>2. 原理图补全</w:t>
      </w:r>
    </w:p>
    <w:p w14:paraId="5D1F26D1">
      <w:r>
        <w:rPr>
          <w:rFonts w:ascii="微软雅黑" w:hAnsi="微软雅黑"/>
          <w:b w:val="0"/>
          <w:color w:val="000000"/>
          <w:sz w:val="22"/>
        </w:rPr>
        <w:t xml:space="preserve">    本周内需完成电源转换、传感器接口、串口通信等所有外围电路的原理图绘制与整合。</w:t>
      </w:r>
    </w:p>
    <w:p w14:paraId="19952DF3">
      <w:r>
        <w:rPr>
          <w:rFonts w:ascii="微软雅黑" w:hAnsi="微软雅黑"/>
          <w:b/>
          <w:color w:val="000000"/>
          <w:sz w:val="22"/>
        </w:rPr>
        <w:t>3. 引脚分配</w:t>
      </w:r>
    </w:p>
    <w:p w14:paraId="7BE0C32E">
      <w:r>
        <w:rPr>
          <w:rFonts w:ascii="微软雅黑" w:hAnsi="微软雅黑"/>
          <w:b w:val="0"/>
          <w:color w:val="000000"/>
          <w:sz w:val="22"/>
        </w:rPr>
        <w:t xml:space="preserve">    使用芯片配置软件理清所有引脚映射，确保硬件资源无冲突，并输出底层初始化工程。</w:t>
      </w:r>
    </w:p>
    <w:p w14:paraId="32E46467">
      <w:r>
        <w:rPr>
          <w:rFonts w:ascii="微软雅黑" w:hAnsi="微软雅黑"/>
          <w:b/>
          <w:color w:val="000000"/>
          <w:sz w:val="22"/>
        </w:rPr>
        <w:t>4. 文档与资料整理</w:t>
      </w:r>
    </w:p>
    <w:p w14:paraId="68AC3508">
      <w:r>
        <w:rPr>
          <w:rFonts w:ascii="微软雅黑" w:hAnsi="微软雅黑"/>
          <w:b w:val="0"/>
          <w:color w:val="000000"/>
          <w:sz w:val="22"/>
        </w:rPr>
        <w:t xml:space="preserve">    整理相关芯片数据手册、参考设计文件以及本次会议记录内容。</w:t>
      </w:r>
    </w:p>
    <w:p w14:paraId="6E211116">
      <w:pPr>
        <w:pStyle w:val="4"/>
      </w:pPr>
      <w:r>
        <w:rPr>
          <w:rFonts w:ascii="微软雅黑" w:hAnsi="微软雅黑"/>
          <w:color w:val="000000"/>
          <w:sz w:val="26"/>
        </w:rPr>
        <w:t>四、下一步计划</w:t>
      </w:r>
    </w:p>
    <w:p w14:paraId="411D140F">
      <w:pPr>
        <w:pStyle w:val="16"/>
      </w:pPr>
      <w:r>
        <w:rPr>
          <w:rFonts w:ascii="微软雅黑" w:hAnsi="微软雅黑"/>
          <w:color w:val="000000"/>
          <w:sz w:val="22"/>
        </w:rPr>
        <w:t>周末前：共同完成所有原理图的绘制、连线检查与审查封板。</w:t>
      </w:r>
    </w:p>
    <w:p w14:paraId="6458D255">
      <w:pPr>
        <w:pStyle w:val="16"/>
      </w:pPr>
      <w:r>
        <w:rPr>
          <w:rFonts w:ascii="微软雅黑" w:hAnsi="微软雅黑"/>
          <w:color w:val="000000"/>
          <w:sz w:val="22"/>
        </w:rPr>
        <w:t>下周初：全面启动印制电路板（PCB）的布局布线工作，并在图纸上统一规划测试点。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思源宋體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思源宋體">
    <w:panose1 w:val="02020400000000000000"/>
    <w:charset w:val="88"/>
    <w:family w:val="auto"/>
    <w:pitch w:val="default"/>
    <w:sig w:usb0="30000083" w:usb1="2BDF3C10" w:usb2="00000016" w:usb3="00000000" w:csb0="603A0107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421AF3"/>
    <w:rsid w:val="5FEF4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790</Words>
  <Characters>841</Characters>
  <Lines>0</Lines>
  <Paragraphs>0</Paragraphs>
  <TotalTime>1</TotalTime>
  <ScaleCrop>false</ScaleCrop>
  <LinksUpToDate>false</LinksUpToDate>
  <CharactersWithSpaces>883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朱mw</cp:lastModifiedBy>
  <dcterms:modified xsi:type="dcterms:W3CDTF">2026-07-21T12:42:02Z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eyJoZGlkIjoiYjY1YTRlM2E0YjUxODVhMGUwYzVhMzZmNzhlZmIzYjEiLCJ1c2VySWQiOiI0MDYzMjMxNTUifQ==</vt:lpwstr>
  </property>
  <property fmtid="{D5CDD505-2E9C-101B-9397-08002B2CF9AE}" pid="3" name="KSOProductBuildVer">
    <vt:lpwstr>2052-12.1.0.26895</vt:lpwstr>
  </property>
  <property fmtid="{D5CDD505-2E9C-101B-9397-08002B2CF9AE}" pid="4" name="ICV">
    <vt:lpwstr>53F56B5896274AC6B050D97C08C1CE92_12</vt:lpwstr>
  </property>
</Properties>
</file>