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FCFA" w14:textId="68ED305B" w:rsidR="008B284C" w:rsidRDefault="008B284C" w:rsidP="008B284C">
      <w:pPr>
        <w:jc w:val="center"/>
        <w:rPr>
          <w:b/>
          <w:bCs/>
          <w:sz w:val="24"/>
          <w:szCs w:val="24"/>
        </w:rPr>
      </w:pPr>
      <w:r w:rsidRPr="000057A7">
        <w:rPr>
          <w:sz w:val="32"/>
          <w:szCs w:val="32"/>
        </w:rPr>
        <w:t>Metodología para el cálculo de:</w:t>
      </w:r>
      <w:r>
        <w:rPr>
          <w:b/>
          <w:bCs/>
          <w:sz w:val="24"/>
          <w:szCs w:val="24"/>
        </w:rPr>
        <w:br/>
      </w:r>
      <w:r>
        <w:rPr>
          <w:b/>
          <w:bCs/>
          <w:sz w:val="32"/>
          <w:szCs w:val="32"/>
        </w:rPr>
        <w:t xml:space="preserve">Superficie por tipo de cultivo en España </w:t>
      </w:r>
      <w:r w:rsidRPr="000057A7">
        <w:rPr>
          <w:b/>
          <w:bCs/>
          <w:sz w:val="32"/>
          <w:szCs w:val="32"/>
        </w:rPr>
        <w:t>(1860–202</w:t>
      </w:r>
      <w:r>
        <w:rPr>
          <w:b/>
          <w:bCs/>
          <w:sz w:val="32"/>
          <w:szCs w:val="32"/>
        </w:rPr>
        <w:t>1</w:t>
      </w:r>
      <w:r w:rsidRPr="000057A7">
        <w:rPr>
          <w:b/>
          <w:bCs/>
          <w:sz w:val="32"/>
          <w:szCs w:val="32"/>
        </w:rPr>
        <w:t>)</w:t>
      </w:r>
      <w:r>
        <w:rPr>
          <w:b/>
          <w:bCs/>
          <w:sz w:val="24"/>
          <w:szCs w:val="24"/>
        </w:rPr>
        <w:br/>
      </w:r>
    </w:p>
    <w:p w14:paraId="1953E74E" w14:textId="77777777" w:rsidR="008B284C" w:rsidRDefault="008B284C" w:rsidP="008B284C">
      <w:pPr>
        <w:jc w:val="right"/>
      </w:pPr>
      <w:r>
        <w:t>Juan Infante-Amate</w:t>
      </w:r>
      <w:r>
        <w:br/>
      </w:r>
      <w:r w:rsidRPr="000057A7">
        <w:rPr>
          <w:i/>
          <w:iCs/>
        </w:rPr>
        <w:t>Universidad de Granada</w:t>
      </w:r>
      <w:r>
        <w:rPr>
          <w:i/>
          <w:iCs/>
        </w:rPr>
        <w:br/>
      </w:r>
      <w:r w:rsidRPr="000057A7">
        <w:t>jinfama@ugr.es</w:t>
      </w:r>
    </w:p>
    <w:p w14:paraId="42DD4A2B" w14:textId="77777777" w:rsidR="008B284C" w:rsidRDefault="008B284C" w:rsidP="008B284C"/>
    <w:p w14:paraId="5E9752E9" w14:textId="7AE812C8" w:rsidR="008B284C" w:rsidRDefault="008B284C" w:rsidP="008B284C">
      <w:pPr>
        <w:jc w:val="right"/>
      </w:pPr>
      <w:r>
        <w:t>Eduardo Aguilera</w:t>
      </w:r>
      <w:r>
        <w:br/>
      </w:r>
      <w:r>
        <w:rPr>
          <w:i/>
          <w:iCs/>
        </w:rPr>
        <w:t>CSIC</w:t>
      </w:r>
      <w:r>
        <w:rPr>
          <w:i/>
          <w:iCs/>
        </w:rPr>
        <w:br/>
      </w:r>
      <w:r w:rsidRPr="000057A7">
        <w:t>jinfama@ugr.es</w:t>
      </w:r>
    </w:p>
    <w:p w14:paraId="001C73E9" w14:textId="77777777" w:rsidR="008B284C" w:rsidRDefault="008B284C" w:rsidP="008B284C"/>
    <w:p w14:paraId="23673341" w14:textId="10656D8A" w:rsidR="008B284C" w:rsidRDefault="008B284C" w:rsidP="008B284C">
      <w:pPr>
        <w:jc w:val="right"/>
      </w:pPr>
      <w:r>
        <w:t xml:space="preserve">Jaime Vila </w:t>
      </w:r>
      <w:proofErr w:type="spellStart"/>
      <w:r>
        <w:t>Traver</w:t>
      </w:r>
      <w:proofErr w:type="spellEnd"/>
      <w:r>
        <w:br/>
      </w:r>
      <w:r>
        <w:rPr>
          <w:i/>
          <w:iCs/>
        </w:rPr>
        <w:t>Universidad de Barcelona</w:t>
      </w:r>
      <w:r>
        <w:rPr>
          <w:i/>
          <w:iCs/>
        </w:rPr>
        <w:br/>
      </w:r>
      <w:r w:rsidRPr="000057A7">
        <w:t>jinfama@ugr.es</w:t>
      </w:r>
    </w:p>
    <w:p w14:paraId="40A5602B" w14:textId="77777777" w:rsidR="008B284C" w:rsidRDefault="008B284C" w:rsidP="008B284C"/>
    <w:p w14:paraId="130A135A" w14:textId="77777777" w:rsidR="003C2A0C" w:rsidRDefault="003C2A0C" w:rsidP="008B284C">
      <w:pPr>
        <w:rPr>
          <w:b/>
          <w:bCs/>
        </w:rPr>
      </w:pPr>
    </w:p>
    <w:p w14:paraId="6A417B24" w14:textId="77777777" w:rsidR="003C2A0C" w:rsidRDefault="003C2A0C" w:rsidP="008B284C">
      <w:pPr>
        <w:rPr>
          <w:b/>
          <w:bCs/>
        </w:rPr>
      </w:pPr>
    </w:p>
    <w:p w14:paraId="3325A08C" w14:textId="77777777" w:rsidR="003C2A0C" w:rsidRDefault="003C2A0C" w:rsidP="008B284C">
      <w:pPr>
        <w:rPr>
          <w:b/>
          <w:bCs/>
        </w:rPr>
      </w:pPr>
    </w:p>
    <w:p w14:paraId="4C8B7D94" w14:textId="77777777" w:rsidR="003C2A0C" w:rsidRDefault="003C2A0C" w:rsidP="008B284C">
      <w:pPr>
        <w:rPr>
          <w:b/>
          <w:bCs/>
        </w:rPr>
      </w:pPr>
    </w:p>
    <w:p w14:paraId="0045CC8A" w14:textId="77777777" w:rsidR="003C2A0C" w:rsidRDefault="003C2A0C" w:rsidP="008B284C">
      <w:pPr>
        <w:rPr>
          <w:b/>
          <w:bCs/>
        </w:rPr>
      </w:pPr>
    </w:p>
    <w:p w14:paraId="5B926CAC" w14:textId="77777777" w:rsidR="003C2A0C" w:rsidRDefault="003C2A0C" w:rsidP="008B284C">
      <w:pPr>
        <w:rPr>
          <w:b/>
          <w:bCs/>
        </w:rPr>
      </w:pPr>
    </w:p>
    <w:p w14:paraId="4BEEC3B2" w14:textId="77777777" w:rsidR="003C2A0C" w:rsidRDefault="003C2A0C" w:rsidP="008B284C">
      <w:pPr>
        <w:rPr>
          <w:b/>
          <w:bCs/>
        </w:rPr>
      </w:pPr>
    </w:p>
    <w:p w14:paraId="39FE7651" w14:textId="77777777" w:rsidR="003C2A0C" w:rsidRDefault="003C2A0C" w:rsidP="008B284C">
      <w:pPr>
        <w:rPr>
          <w:b/>
          <w:bCs/>
        </w:rPr>
      </w:pPr>
    </w:p>
    <w:p w14:paraId="18DDEEA9" w14:textId="77777777" w:rsidR="003C2A0C" w:rsidRDefault="003C2A0C" w:rsidP="008B284C">
      <w:pPr>
        <w:rPr>
          <w:b/>
          <w:bCs/>
        </w:rPr>
      </w:pPr>
    </w:p>
    <w:p w14:paraId="1211180F" w14:textId="77777777" w:rsidR="003C2A0C" w:rsidRDefault="003C2A0C" w:rsidP="008B284C">
      <w:pPr>
        <w:rPr>
          <w:b/>
          <w:bCs/>
        </w:rPr>
      </w:pPr>
    </w:p>
    <w:p w14:paraId="611DB032" w14:textId="77777777" w:rsidR="003C2A0C" w:rsidRDefault="003C2A0C" w:rsidP="008B284C">
      <w:pPr>
        <w:rPr>
          <w:b/>
          <w:bCs/>
        </w:rPr>
      </w:pPr>
    </w:p>
    <w:p w14:paraId="726C9846" w14:textId="77777777" w:rsidR="003C2A0C" w:rsidRDefault="003C2A0C" w:rsidP="008B284C">
      <w:pPr>
        <w:rPr>
          <w:b/>
          <w:bCs/>
        </w:rPr>
      </w:pPr>
    </w:p>
    <w:p w14:paraId="581637DC" w14:textId="77777777" w:rsidR="003C2A0C" w:rsidRDefault="003C2A0C" w:rsidP="008B284C">
      <w:pPr>
        <w:rPr>
          <w:b/>
          <w:bCs/>
        </w:rPr>
      </w:pPr>
    </w:p>
    <w:p w14:paraId="62A47235" w14:textId="77777777" w:rsidR="003C2A0C" w:rsidRDefault="003C2A0C" w:rsidP="008B284C">
      <w:pPr>
        <w:rPr>
          <w:b/>
          <w:bCs/>
        </w:rPr>
      </w:pPr>
    </w:p>
    <w:p w14:paraId="71BCC33E" w14:textId="77777777" w:rsidR="003C2A0C" w:rsidRDefault="003C2A0C" w:rsidP="008B284C">
      <w:pPr>
        <w:rPr>
          <w:b/>
          <w:bCs/>
        </w:rPr>
      </w:pPr>
    </w:p>
    <w:p w14:paraId="62EEC1D7" w14:textId="77777777" w:rsidR="003C2A0C" w:rsidRDefault="003C2A0C" w:rsidP="008B284C">
      <w:pPr>
        <w:rPr>
          <w:b/>
          <w:bCs/>
        </w:rPr>
      </w:pPr>
    </w:p>
    <w:p w14:paraId="20EE1334" w14:textId="77777777" w:rsidR="003C2A0C" w:rsidRDefault="003C2A0C" w:rsidP="008B284C">
      <w:pPr>
        <w:rPr>
          <w:b/>
          <w:bCs/>
        </w:rPr>
      </w:pPr>
    </w:p>
    <w:p w14:paraId="491A8E79" w14:textId="77777777" w:rsidR="003C2A0C" w:rsidRDefault="003C2A0C" w:rsidP="008B284C">
      <w:pPr>
        <w:rPr>
          <w:b/>
          <w:bCs/>
        </w:rPr>
      </w:pPr>
    </w:p>
    <w:p w14:paraId="3E731B41" w14:textId="68636B5C" w:rsidR="008B284C" w:rsidRPr="000057A7" w:rsidRDefault="008B284C" w:rsidP="008B284C">
      <w:pPr>
        <w:rPr>
          <w:b/>
          <w:bCs/>
        </w:rPr>
      </w:pPr>
      <w:r>
        <w:rPr>
          <w:b/>
          <w:bCs/>
        </w:rPr>
        <w:lastRenderedPageBreak/>
        <w:t xml:space="preserve">1. </w:t>
      </w:r>
      <w:r w:rsidRPr="000057A7">
        <w:rPr>
          <w:b/>
          <w:bCs/>
        </w:rPr>
        <w:t>Introducción</w:t>
      </w:r>
    </w:p>
    <w:p w14:paraId="6277462B" w14:textId="56A92309" w:rsidR="003C2A0C" w:rsidRDefault="003C2A0C" w:rsidP="003C2A0C">
      <w:r>
        <w:t>En este documento metodológico resumimos el procedimiento de cálculo y las fuentes utilizadas para estimar la superficie cultivada en España entre 1860 y la actualidad. El objetivo es reconstruir una serie homogénea y comparable a lo largo del tiempo que permita analizar la evolución de los principales grupos de cultivos en perspectiva histórica.</w:t>
      </w:r>
    </w:p>
    <w:p w14:paraId="14CBBB43" w14:textId="77777777" w:rsidR="003C2A0C" w:rsidRDefault="003C2A0C" w:rsidP="003C2A0C">
      <w:r>
        <w:t>Aunque ha habido pequeños cambios a lo largo del tiempo sobre lo que se entiende por superficie cultivada, por lo general consideramos la superficie en la que efectivamente se obtiene un cultivo, incluyendo cultivos temporales, permanentes y barbechos. </w:t>
      </w:r>
    </w:p>
    <w:p w14:paraId="155935E7" w14:textId="77777777" w:rsidR="003C2A0C" w:rsidRDefault="003C2A0C" w:rsidP="003C2A0C">
      <w:r>
        <w:t>La reconstrucción implica varios retos: la diversidad de fuentes estadísticas disponibles, la diferente calidad y cobertura según los períodos, y la necesidad de aplicar hipótesis de interpolación y corrección cuando los datos son incompletos o inconsistentes. En particular, la información reciente es más sistemática y detallada, mientras que en la segunda mitad del siglo XIX resulta fragmentaria, lo que obliga a combinar distintas fuentes oficiales y estimaciones historiográficas.</w:t>
      </w:r>
    </w:p>
    <w:p w14:paraId="2B1962E4" w14:textId="77777777" w:rsidR="003C2A0C" w:rsidRDefault="003C2A0C" w:rsidP="003C2A0C">
      <w:r>
        <w:t>En términos generales, nuestra estrategia ha consistido en: (i) compilar información de superficie de los principales cultivos utilizando fuentes oficiales (esencialmente los Anuarios de Estadística Agraria) y fuentes secundarias (principalmente el GEHR y otras fuentes historiográficas); y (</w:t>
      </w:r>
      <w:proofErr w:type="spellStart"/>
      <w:r>
        <w:t>ii</w:t>
      </w:r>
      <w:proofErr w:type="spellEnd"/>
      <w:r>
        <w:t>) conectar las distintas series y períodos realizando ciertas asunciones para obtener una tendencia razonable, empleando interpolaciones cuando es necesario.</w:t>
      </w:r>
    </w:p>
    <w:p w14:paraId="26A8087A" w14:textId="77777777" w:rsidR="003C2A0C" w:rsidRDefault="003C2A0C" w:rsidP="003C2A0C">
      <w:r>
        <w:t>El resultado es una base de datos continua que permite seguir la evolución del uso del suelo agrario en España desde mediados del siglo XIX hasta la actualidad.</w:t>
      </w:r>
    </w:p>
    <w:p w14:paraId="175A043E" w14:textId="77777777" w:rsidR="003C2A0C" w:rsidRDefault="003C2A0C" w:rsidP="003C2A0C"/>
    <w:p w14:paraId="6A1DB688" w14:textId="14462FF6" w:rsidR="003C2A0C" w:rsidRPr="003C2A0C" w:rsidRDefault="003C2A0C" w:rsidP="003C2A0C">
      <w:pPr>
        <w:rPr>
          <w:b/>
          <w:bCs/>
        </w:rPr>
      </w:pPr>
      <w:r w:rsidRPr="003C2A0C">
        <w:rPr>
          <w:b/>
          <w:bCs/>
        </w:rPr>
        <w:t>2. Fuentes</w:t>
      </w:r>
    </w:p>
    <w:p w14:paraId="10F062D7" w14:textId="77777777" w:rsidR="003C2A0C" w:rsidRDefault="003C2A0C" w:rsidP="003C2A0C"/>
    <w:p w14:paraId="710C8701" w14:textId="484589F7" w:rsidR="003C2A0C" w:rsidRPr="003C2A0C" w:rsidRDefault="003C2A0C" w:rsidP="003C2A0C">
      <w:pPr>
        <w:rPr>
          <w:u w:val="single"/>
        </w:rPr>
      </w:pPr>
      <w:r w:rsidRPr="003C2A0C">
        <w:rPr>
          <w:u w:val="single"/>
        </w:rPr>
        <w:t>2</w:t>
      </w:r>
      <w:r w:rsidRPr="003C2A0C">
        <w:rPr>
          <w:u w:val="single"/>
        </w:rPr>
        <w:t>.1. 1891 hasta la actualidad</w:t>
      </w:r>
    </w:p>
    <w:p w14:paraId="19AD4BDD" w14:textId="77777777" w:rsidR="003C2A0C" w:rsidRDefault="003C2A0C" w:rsidP="003C2A0C">
      <w:r>
        <w:t>A partir de 1891 disponemos de información más sistemática, aunque con diferencias por períodos:</w:t>
      </w:r>
    </w:p>
    <w:p w14:paraId="1A4687D2" w14:textId="6AD8E7FD" w:rsidR="003C2A0C" w:rsidRDefault="003C2A0C" w:rsidP="003C2A0C">
      <w:r>
        <w:t xml:space="preserve">Entre 1891 y 1935, la principal referencia es el compendio estadístico del GEHR (1991), que sistematiza y corrige la información procedente de los Anuarios, de los informes de la Junta Consultiva Agronómica (JCA) y de otras fuentes oficiales de la época. Esta compilación presenta algunos vacíos menores de información, especialmente en frutales y hortícolas, que no se registraron de manera regular hasta comienzos del siglo XX. En estos casos, interpolamos linealmente, bajo la hipótesis de que la ausencia de datos se debe a deficiencias en el registro y no al abandono de los cultivos. Una dificultad añadida en este período es que, en los primeros años de las series oficiales, las cifras presentan oscilaciones poco verosímiles. Por ejemplo, la superficie de trigo pasó de 2,6 a 3,7 millones de hectáreas en un solo año (1891-1892) según </w:t>
      </w:r>
      <w:proofErr w:type="spellStart"/>
      <w:r>
        <w:t>Barciela</w:t>
      </w:r>
      <w:proofErr w:type="spellEnd"/>
      <w:r>
        <w:t xml:space="preserve"> et al. (2005). Por ello, optamos por iniciar la serie de cada cultivo solo a partir del primer año en que la evolución interanual resulta razonable.</w:t>
      </w:r>
    </w:p>
    <w:p w14:paraId="56A2B63E" w14:textId="04620B0A" w:rsidR="003C2A0C" w:rsidRDefault="003C2A0C" w:rsidP="003C2A0C">
      <w:r>
        <w:lastRenderedPageBreak/>
        <w:t>Para los años sucesivos</w:t>
      </w:r>
      <w:r>
        <w:t xml:space="preserve"> la fuente principal son los </w:t>
      </w:r>
      <w:r>
        <w:t>“</w:t>
      </w:r>
      <w:r>
        <w:t>Anuarios de Estadística Agraria</w:t>
      </w:r>
      <w:r>
        <w:t>”</w:t>
      </w:r>
      <w:r>
        <w:t xml:space="preserve">, que recogen información nacional y provincial para todos los </w:t>
      </w:r>
      <w:proofErr w:type="gramStart"/>
      <w:r>
        <w:t>cultivos</w:t>
      </w:r>
      <w:r>
        <w:t xml:space="preserve"> </w:t>
      </w:r>
      <w:r>
        <w:t>.</w:t>
      </w:r>
      <w:proofErr w:type="gramEnd"/>
      <w:r>
        <w:t xml:space="preserve"> El anuario de 1950 advertía de una infraestimación en la década de 1940 (GEHR, 1991), por lo que en este trabajo utilizamos las series retrospectivas corregidas posteriormente por el propio Ministerio de Agricultura.</w:t>
      </w:r>
    </w:p>
    <w:p w14:paraId="7F403612" w14:textId="77777777" w:rsidR="003C2A0C" w:rsidRDefault="003C2A0C" w:rsidP="003C2A0C"/>
    <w:p w14:paraId="5D674D71" w14:textId="404E32EF" w:rsidR="003C2A0C" w:rsidRPr="003C2A0C" w:rsidRDefault="003C2A0C" w:rsidP="003C2A0C">
      <w:pPr>
        <w:rPr>
          <w:u w:val="single"/>
        </w:rPr>
      </w:pPr>
      <w:r w:rsidRPr="003C2A0C">
        <w:rPr>
          <w:u w:val="single"/>
        </w:rPr>
        <w:t>3.2. 1860-1890</w:t>
      </w:r>
    </w:p>
    <w:p w14:paraId="7239E4BB" w14:textId="6DE1262A" w:rsidR="003C2A0C" w:rsidRDefault="003C2A0C" w:rsidP="003C2A0C">
      <w:r>
        <w:t>La estimación de la superficie cultivada en la segunda mitad del siglo XIX constituye el mayor reto metodológico, ya que la información es fragmentaria, heterogénea y, por lo general, poco fiable.</w:t>
      </w:r>
      <w:r>
        <w:t xml:space="preserve"> En este trabajo no pretendemos resolver esta laguna, que representa un problema no ha sido solventado por reputados investigadores que han dedicado </w:t>
      </w:r>
      <w:proofErr w:type="gramStart"/>
      <w:r>
        <w:t>mucho años</w:t>
      </w:r>
      <w:proofErr w:type="gramEnd"/>
      <w:r>
        <w:t xml:space="preserve"> a este empeño. Solo pretendemos ofrecer una tendencia razonable tanto de la superficie cultivada total como de los principales grupos de cultivos. </w:t>
      </w:r>
    </w:p>
    <w:p w14:paraId="1D1E3402" w14:textId="0AE577B0" w:rsidR="003C2A0C" w:rsidRDefault="003C2A0C" w:rsidP="003C2A0C">
      <w:r>
        <w:t>¿Qué información tenemos? Desde 1860 se han publicado un amplio número de estimaciones sobre la superficie cultivada o, en particular sobre la superficie de cereal, que ofrecen resultados sumamente dispares (un resumen en Rivero, 2006). Las obras de referencia suelen asumir (no por plenamente fiable sino por dar un valor razonable), la estimación de la “J</w:t>
      </w:r>
      <w:r>
        <w:t>unta General de Estadística</w:t>
      </w:r>
      <w:r>
        <w:t>”</w:t>
      </w:r>
      <w:r>
        <w:t xml:space="preserve"> (G</w:t>
      </w:r>
      <w:proofErr w:type="spellStart"/>
      <w:r>
        <w:t>arrabou</w:t>
      </w:r>
      <w:proofErr w:type="spellEnd"/>
      <w:r>
        <w:t xml:space="preserve"> y Sanz, 1985; </w:t>
      </w:r>
      <w:proofErr w:type="spellStart"/>
      <w:r>
        <w:t>Garrabou</w:t>
      </w:r>
      <w:proofErr w:type="spellEnd"/>
      <w:r>
        <w:t xml:space="preserve"> y Pujol, 1988; </w:t>
      </w:r>
      <w:proofErr w:type="gramStart"/>
      <w:r>
        <w:t>Gallego</w:t>
      </w:r>
      <w:proofErr w:type="gramEnd"/>
      <w:r>
        <w:t>, 1986; Zapata, 1986).</w:t>
      </w:r>
      <w:r>
        <w:t xml:space="preserve"> Esta </w:t>
      </w:r>
      <w:r w:rsidRPr="003C2A0C">
        <w:rPr>
          <w:highlight w:val="yellow"/>
        </w:rPr>
        <w:t>fuente aporta información de…</w:t>
      </w:r>
      <w:r>
        <w:t xml:space="preserve"> </w:t>
      </w:r>
    </w:p>
    <w:p w14:paraId="2655F0CE" w14:textId="23B6210A" w:rsidR="003C2A0C" w:rsidRDefault="003C2A0C" w:rsidP="003C2A0C">
      <w:r>
        <w:t xml:space="preserve">Para el año de 1885, </w:t>
      </w:r>
      <w:proofErr w:type="spellStart"/>
      <w:r>
        <w:t>Garrabou</w:t>
      </w:r>
      <w:proofErr w:type="spellEnd"/>
      <w:r>
        <w:t xml:space="preserve"> y Pujol (1988) propusieron una estimación </w:t>
      </w:r>
      <w:r>
        <w:t>p</w:t>
      </w:r>
      <w:r w:rsidRPr="003C2A0C">
        <w:rPr>
          <w:highlight w:val="yellow"/>
        </w:rPr>
        <w:t>ropia</w:t>
      </w:r>
      <w:r w:rsidRPr="003C2A0C">
        <w:rPr>
          <w:highlight w:val="yellow"/>
        </w:rPr>
        <w:t xml:space="preserve"> para los cereales,</w:t>
      </w:r>
      <w:r>
        <w:t xml:space="preserve"> que conecta bien con los primeros “avances” estadísticos de la </w:t>
      </w:r>
      <w:r>
        <w:t>“</w:t>
      </w:r>
      <w:r>
        <w:t>Junta Consultiva Agronómica (JCA)</w:t>
      </w:r>
      <w:r>
        <w:t xml:space="preserve">” que damos por buena. </w:t>
      </w:r>
    </w:p>
    <w:p w14:paraId="52C9D325" w14:textId="77777777" w:rsidR="003C2A0C" w:rsidRDefault="003C2A0C" w:rsidP="003C2A0C">
      <w:r>
        <w:t xml:space="preserve">Interpolamos linealmente los huecos y, para el resto de </w:t>
      </w:r>
      <w:proofErr w:type="gramStart"/>
      <w:r>
        <w:t>cultivos</w:t>
      </w:r>
      <w:proofErr w:type="gramEnd"/>
      <w:r>
        <w:t xml:space="preserve">, asumimos la misma proporción </w:t>
      </w:r>
    </w:p>
    <w:p w14:paraId="2D27953D" w14:textId="77777777" w:rsidR="003C2A0C" w:rsidRDefault="003C2A0C" w:rsidP="003C2A0C"/>
    <w:p w14:paraId="62950320" w14:textId="77777777" w:rsidR="003C2A0C" w:rsidRDefault="003C2A0C" w:rsidP="003C2A0C">
      <w:r>
        <w:t>Aunque no es posible determinar con exactitud el nivel real de superficie en este período, el procedimiento nos permite situar las cifras en un rango razonable, evitando saltos artificiales y asegurando coherencia con las principales interpretaciones historiográficas.</w:t>
      </w:r>
    </w:p>
    <w:p w14:paraId="09A5C4C9" w14:textId="77777777" w:rsidR="003C2A0C" w:rsidRDefault="003C2A0C" w:rsidP="003C2A0C"/>
    <w:p w14:paraId="19501217" w14:textId="77777777" w:rsidR="00F90A96" w:rsidRDefault="00F90A96" w:rsidP="00F90A96">
      <w:r>
        <w:t xml:space="preserve">En el caso de los barbechos, siguiendo la propuesta del GEHR (1983), incluimos lo que la fuente denomina </w:t>
      </w:r>
      <w:proofErr w:type="gramStart"/>
      <w:r>
        <w:t>barbecho</w:t>
      </w:r>
      <w:proofErr w:type="gramEnd"/>
      <w:r>
        <w:t xml:space="preserve"> así como los eriales temporales, que serían los barbechos no labrados. Estas categorías, no obstante, han cambiado de denominación y de agregación a lo largo de la serie publicada en los Anuarios. La categoría de barbecho está presente en la estadística desde c. 1930, y fue recogida por la JCA en los avances de 1922 y de 1886/90. En el último caso tomamos la corrección realizada por el GEHR (1983). Para 1860 tomamos la estimación de </w:t>
      </w:r>
      <w:proofErr w:type="spellStart"/>
      <w:r>
        <w:t>Garrabou</w:t>
      </w:r>
      <w:proofErr w:type="spellEnd"/>
      <w:r>
        <w:t xml:space="preserve"> y Sanz (1985). El erial temporal (o eventual), que alude a los barbechos no labrados, aparece en la serie desde 1930. En 1954 la superficie recogida por esta categoría cayó a la mitad, a la vez que aparecía una nueva dentro de las superficies herbáceas denominada como ‘no ocupada’ que muy probablemente recogía la superficie desaparecida de ‘erial temporal’. En resumen, suponemos que la categoría de barbecho se corresponde con el barbecho labrado, </w:t>
      </w:r>
      <w:r>
        <w:lastRenderedPageBreak/>
        <w:t>mientras que las categorías de ‘no ocupada’ y de ‘erial temporal’ aluden al barbecho no labrado. La suma de ambas resulta en el barbecho total.</w:t>
      </w:r>
    </w:p>
    <w:p w14:paraId="2FD2BB85" w14:textId="77777777" w:rsidR="00F90A96" w:rsidRDefault="00F90A96" w:rsidP="00F90A96">
      <w:r>
        <w:t>Una vez estimada la superficie barbecho, de leguminosas y de cereales, asumimos que, dentro de cada grupo, cada cultivo tuvo el mismo peso entre 1860 y 1900. Es probable que la proporción de trigo/cebada cambiase a medida que lo hizo la cabaña ganadera, sin embargo, con los datos disponibles, no es posible aventurar ninguna estimación fiable.</w:t>
      </w:r>
    </w:p>
    <w:p w14:paraId="4270BBE0" w14:textId="77777777" w:rsidR="00F90A96" w:rsidRDefault="00F90A96" w:rsidP="00F90A96">
      <w:r>
        <w:t>En el caso del olivar, contamos con información desde 1893 (ver Zambrana, 1987). Suavizamos la tendencia al encontrar saltos poco verosímiles en algunos años. Para conectar la serie entre 1860 y 1893, interpolamos linealmente hasta 1880, cuando, según Zambrana (1987), la superficie se estancó por la crisis. Así, entre 1880 y 1893 damos un valor relativamente estable.</w:t>
      </w:r>
    </w:p>
    <w:p w14:paraId="79E4630D" w14:textId="77777777" w:rsidR="00F90A96" w:rsidRDefault="00F90A96" w:rsidP="00F90A96">
      <w:r>
        <w:t>En el caso de la viña contamos con datos del Servicio Agronómico a partir de 1889. Al igual que en el caso del olivar, interpolamos linealmente hasta 1886, cuando presumiblemente la superficie se estancó por la crisis (Pan-Montojo, XXXX). Entre 1886 y 1889 estabilizamos la serie.</w:t>
      </w:r>
    </w:p>
    <w:p w14:paraId="49B8F264" w14:textId="77777777" w:rsidR="00F90A96" w:rsidRDefault="00F90A96" w:rsidP="00F90A96">
      <w:r>
        <w:t xml:space="preserve">En el caso de los cultivos industriales solo contamos con información desde 1902. No obstante, para la remolacha azucarera, que concentraba el 43% de la superficie de los cultivos industriales, contamos con información de producción desde 1882. Tomando los rendimientos de 1902, estimamos la superficie hasta 1882. Para el resto de </w:t>
      </w:r>
      <w:proofErr w:type="gramStart"/>
      <w:r>
        <w:t>cultivos</w:t>
      </w:r>
      <w:proofErr w:type="gramEnd"/>
      <w:r>
        <w:t xml:space="preserve"> asumimos que la superficie cambió al mismo ritmo que la población.</w:t>
      </w:r>
    </w:p>
    <w:p w14:paraId="5737CC28" w14:textId="77777777" w:rsidR="00F90A96" w:rsidRDefault="00F90A96" w:rsidP="00F90A96">
      <w:r>
        <w:t>En el caso de los hortícolas y los tubérculos también asumimos que la superficie cambió al mismo ritmo que la población ya que, como veremos abajo, asumimos que no hubo variaciones significativas en los rendimientos desde mediados del siglo XIX. En este caso contamos con información desde 1902 únicamente para el caso de la patata. El resto de los cultivos se van incluyendo en la serie paulatinamente desde 1910. No obstante, la patata representaba casi el 60% de la superficie de hortalizas en 1943, primer año para el que contamos con información de todos los cultivos de esta categoría.</w:t>
      </w:r>
    </w:p>
    <w:p w14:paraId="129FEE9B" w14:textId="77777777" w:rsidR="00F90A96" w:rsidRDefault="00F90A96" w:rsidP="00F90A96">
      <w:r>
        <w:t>Los cultivos forrajeros de presentan con diferentes niveles de agregación a lo largo de la serie. Hemos estimado la serie considerando la máxima desagregación posible identificando un total de 20 cultivos. Cuando la información se agrega en menos cultivos, asumimos una proporción similar a la del año más próximo que sí ofrece desagregación total. Entre 1860 y 1910 la serie se estima en base al peso vivo de la cabaña ganadera.</w:t>
      </w:r>
    </w:p>
    <w:p w14:paraId="056A4B2D" w14:textId="1C915C25" w:rsidR="003C2A0C" w:rsidRDefault="00F90A96" w:rsidP="00F90A96">
      <w:r>
        <w:t xml:space="preserve">Nótese que nuestra estimación de cultivos industriales, hortícolas y forrajeros difiere de la ofrecida por </w:t>
      </w:r>
      <w:proofErr w:type="gramStart"/>
      <w:r>
        <w:t>Gallego</w:t>
      </w:r>
      <w:proofErr w:type="gramEnd"/>
      <w:r>
        <w:t xml:space="preserve"> (1986), </w:t>
      </w:r>
      <w:proofErr w:type="spellStart"/>
      <w:r>
        <w:t>Garrabou</w:t>
      </w:r>
      <w:proofErr w:type="spellEnd"/>
      <w:r>
        <w:t xml:space="preserve"> y Sanz (1985) y el GEHR (1991), no solo por las asunciones que hemos tomado sino porque en </w:t>
      </w:r>
      <w:proofErr w:type="gramStart"/>
      <w:r>
        <w:t>esta categorías</w:t>
      </w:r>
      <w:proofErr w:type="gramEnd"/>
      <w:r>
        <w:t xml:space="preserve"> los citados autores incluyen el esparto, que nosotros dejamos fuera de la superficie cultivada.</w:t>
      </w:r>
    </w:p>
    <w:p w14:paraId="69B62D72" w14:textId="77777777" w:rsidR="00F90A96" w:rsidRDefault="00F90A96" w:rsidP="003C2A0C"/>
    <w:p w14:paraId="7A4DC4CA" w14:textId="77777777" w:rsidR="00F90A96" w:rsidRDefault="00F90A96" w:rsidP="003C2A0C"/>
    <w:p w14:paraId="10B739DE" w14:textId="77777777" w:rsidR="00F90A96" w:rsidRDefault="00F90A96" w:rsidP="003C2A0C"/>
    <w:p w14:paraId="0A9019D9" w14:textId="77777777" w:rsidR="00F90A96" w:rsidRDefault="00F90A96" w:rsidP="003C2A0C"/>
    <w:p w14:paraId="03B6D529" w14:textId="77777777" w:rsidR="00F90A96" w:rsidRDefault="00F90A96" w:rsidP="003C2A0C"/>
    <w:p w14:paraId="59D2A86E" w14:textId="3CE97DBD" w:rsidR="003C2A0C" w:rsidRPr="00F90A96" w:rsidRDefault="003C2A0C" w:rsidP="003C2A0C">
      <w:pPr>
        <w:rPr>
          <w:b/>
          <w:bCs/>
        </w:rPr>
      </w:pPr>
      <w:r w:rsidRPr="00F90A96">
        <w:rPr>
          <w:b/>
          <w:bCs/>
        </w:rPr>
        <w:lastRenderedPageBreak/>
        <w:t>4. Agrupación por tipo de cultivos</w:t>
      </w:r>
    </w:p>
    <w:p w14:paraId="5BEB659A" w14:textId="64898E74" w:rsidR="004D6257" w:rsidRDefault="004D6257" w:rsidP="003C2A0C"/>
    <w:sectPr w:rsidR="004D62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4C"/>
    <w:rsid w:val="003C2A0C"/>
    <w:rsid w:val="003E24B2"/>
    <w:rsid w:val="004D6257"/>
    <w:rsid w:val="008B284C"/>
    <w:rsid w:val="00F90A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5119"/>
  <w15:chartTrackingRefBased/>
  <w15:docId w15:val="{2754448B-253D-4489-A2BA-A2D8A83B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4C"/>
  </w:style>
  <w:style w:type="paragraph" w:styleId="Ttulo1">
    <w:name w:val="heading 1"/>
    <w:basedOn w:val="Normal"/>
    <w:next w:val="Normal"/>
    <w:link w:val="Ttulo1Car"/>
    <w:uiPriority w:val="9"/>
    <w:qFormat/>
    <w:rsid w:val="008B2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2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28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28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28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28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28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28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28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8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28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28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28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28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28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28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28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284C"/>
    <w:rPr>
      <w:rFonts w:eastAsiaTheme="majorEastAsia" w:cstheme="majorBidi"/>
      <w:color w:val="272727" w:themeColor="text1" w:themeTint="D8"/>
    </w:rPr>
  </w:style>
  <w:style w:type="paragraph" w:styleId="Ttulo">
    <w:name w:val="Title"/>
    <w:basedOn w:val="Normal"/>
    <w:next w:val="Normal"/>
    <w:link w:val="TtuloCar"/>
    <w:uiPriority w:val="10"/>
    <w:qFormat/>
    <w:rsid w:val="008B2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28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28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28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284C"/>
    <w:pPr>
      <w:spacing w:before="160"/>
      <w:jc w:val="center"/>
    </w:pPr>
    <w:rPr>
      <w:i/>
      <w:iCs/>
      <w:color w:val="404040" w:themeColor="text1" w:themeTint="BF"/>
    </w:rPr>
  </w:style>
  <w:style w:type="character" w:customStyle="1" w:styleId="CitaCar">
    <w:name w:val="Cita Car"/>
    <w:basedOn w:val="Fuentedeprrafopredeter"/>
    <w:link w:val="Cita"/>
    <w:uiPriority w:val="29"/>
    <w:rsid w:val="008B284C"/>
    <w:rPr>
      <w:i/>
      <w:iCs/>
      <w:color w:val="404040" w:themeColor="text1" w:themeTint="BF"/>
    </w:rPr>
  </w:style>
  <w:style w:type="paragraph" w:styleId="Prrafodelista">
    <w:name w:val="List Paragraph"/>
    <w:basedOn w:val="Normal"/>
    <w:uiPriority w:val="34"/>
    <w:qFormat/>
    <w:rsid w:val="008B284C"/>
    <w:pPr>
      <w:ind w:left="720"/>
      <w:contextualSpacing/>
    </w:pPr>
  </w:style>
  <w:style w:type="character" w:styleId="nfasisintenso">
    <w:name w:val="Intense Emphasis"/>
    <w:basedOn w:val="Fuentedeprrafopredeter"/>
    <w:uiPriority w:val="21"/>
    <w:qFormat/>
    <w:rsid w:val="008B284C"/>
    <w:rPr>
      <w:i/>
      <w:iCs/>
      <w:color w:val="0F4761" w:themeColor="accent1" w:themeShade="BF"/>
    </w:rPr>
  </w:style>
  <w:style w:type="paragraph" w:styleId="Citadestacada">
    <w:name w:val="Intense Quote"/>
    <w:basedOn w:val="Normal"/>
    <w:next w:val="Normal"/>
    <w:link w:val="CitadestacadaCar"/>
    <w:uiPriority w:val="30"/>
    <w:qFormat/>
    <w:rsid w:val="008B2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284C"/>
    <w:rPr>
      <w:i/>
      <w:iCs/>
      <w:color w:val="0F4761" w:themeColor="accent1" w:themeShade="BF"/>
    </w:rPr>
  </w:style>
  <w:style w:type="character" w:styleId="Referenciaintensa">
    <w:name w:val="Intense Reference"/>
    <w:basedOn w:val="Fuentedeprrafopredeter"/>
    <w:uiPriority w:val="32"/>
    <w:qFormat/>
    <w:rsid w:val="008B2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1393</Words>
  <Characters>7666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Infante Amate</dc:creator>
  <cp:keywords/>
  <dc:description/>
  <cp:lastModifiedBy>Juan Infante Amate</cp:lastModifiedBy>
  <cp:revision>1</cp:revision>
  <dcterms:created xsi:type="dcterms:W3CDTF">2025-09-03T16:56:00Z</dcterms:created>
  <dcterms:modified xsi:type="dcterms:W3CDTF">2025-09-03T18:14:00Z</dcterms:modified>
</cp:coreProperties>
</file>