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BC083">
      <w:pPr>
        <w:jc w:val="center"/>
      </w:pPr>
      <w: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0708F329">
      <w:pPr>
        <w:jc w:val="center"/>
        <w:rPr>
          <w:sz w:val="52"/>
          <w:szCs w:val="52"/>
        </w:rPr>
      </w:pPr>
      <w:r>
        <w:rPr>
          <w:rFonts w:hint="eastAsia"/>
          <w:sz w:val="52"/>
          <w:szCs w:val="52"/>
        </w:rPr>
        <w:t xml:space="preserve">电 工 </w:t>
      </w:r>
      <w:r>
        <w:rPr>
          <w:sz w:val="52"/>
          <w:szCs w:val="52"/>
        </w:rPr>
        <w:t>电</w:t>
      </w:r>
      <w:r>
        <w:rPr>
          <w:rFonts w:hint="eastAsia"/>
          <w:sz w:val="52"/>
          <w:szCs w:val="52"/>
        </w:rPr>
        <w:t xml:space="preserve"> </w:t>
      </w:r>
      <w:r>
        <w:rPr>
          <w:sz w:val="52"/>
          <w:szCs w:val="52"/>
        </w:rPr>
        <w:t>子</w:t>
      </w:r>
      <w:r>
        <w:rPr>
          <w:rFonts w:hint="eastAsia"/>
          <w:sz w:val="52"/>
          <w:szCs w:val="52"/>
        </w:rPr>
        <w:t xml:space="preserve"> 实 验 报 告</w:t>
      </w:r>
    </w:p>
    <w:p w14:paraId="5186D3F4">
      <w:pPr>
        <w:jc w:val="center"/>
      </w:pPr>
    </w:p>
    <w:p w14:paraId="57C2DA4B">
      <w:pPr>
        <w:jc w:val="center"/>
      </w:pPr>
    </w:p>
    <w:p w14:paraId="7D853E1F">
      <w:pPr>
        <w:jc w:val="center"/>
      </w:pPr>
    </w:p>
    <w:p w14:paraId="34FF1BF7">
      <w:pPr>
        <w:ind w:firstLine="960" w:firstLineChars="300"/>
        <w:rPr>
          <w:sz w:val="32"/>
          <w:szCs w:val="32"/>
          <w:u w:val="single"/>
        </w:rPr>
      </w:pPr>
      <w:r>
        <w:rPr>
          <w:rFonts w:hint="eastAsia"/>
          <w:sz w:val="32"/>
          <w:szCs w:val="32"/>
        </w:rPr>
        <w:t>课程名称：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  电工电子实验（上）</w:t>
      </w:r>
      <w:r>
        <w:rPr>
          <w:sz w:val="32"/>
          <w:szCs w:val="32"/>
          <w:u w:val="single"/>
        </w:rPr>
        <w:t xml:space="preserve">      </w:t>
      </w:r>
    </w:p>
    <w:p w14:paraId="4FDC0B97">
      <w:pPr>
        <w:ind w:firstLine="960" w:firstLineChars="300"/>
        <w:jc w:val="left"/>
        <w:rPr>
          <w:sz w:val="32"/>
          <w:szCs w:val="32"/>
          <w:u w:val="single"/>
        </w:rPr>
      </w:pPr>
      <w:r>
        <w:rPr>
          <w:rFonts w:hint="eastAsia"/>
          <w:sz w:val="32"/>
          <w:szCs w:val="32"/>
        </w:rPr>
        <w:t>实验名称：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 </w:t>
      </w:r>
      <w:r>
        <w:rPr>
          <w:sz w:val="32"/>
          <w:szCs w:val="32"/>
          <w:u w:val="single"/>
        </w:rPr>
        <w:t xml:space="preserve"> </w:t>
      </w:r>
      <w:r>
        <w:rPr>
          <w:rFonts w:hint="eastAsia"/>
          <w:sz w:val="32"/>
          <w:szCs w:val="32"/>
          <w:u w:val="single"/>
          <w:lang w:val="en-US" w:eastAsia="zh-CN"/>
        </w:rPr>
        <w:t>非线性电阻伏安特性</w:t>
      </w:r>
      <w:r>
        <w:rPr>
          <w:sz w:val="32"/>
          <w:szCs w:val="32"/>
          <w:u w:val="single"/>
        </w:rPr>
        <w:t xml:space="preserve">  </w:t>
      </w:r>
      <w:r>
        <w:rPr>
          <w:rFonts w:hint="eastAsia"/>
          <w:sz w:val="32"/>
          <w:szCs w:val="32"/>
          <w:u w:val="single"/>
          <w:lang w:val="en-US" w:eastAsia="zh-CN"/>
        </w:rPr>
        <w:t xml:space="preserve"> </w:t>
      </w:r>
      <w:r>
        <w:rPr>
          <w:sz w:val="32"/>
          <w:szCs w:val="32"/>
          <w:u w:val="single"/>
        </w:rPr>
        <w:t xml:space="preserve">    </w:t>
      </w:r>
    </w:p>
    <w:p w14:paraId="08E295C3">
      <w:pPr>
        <w:ind w:firstLine="960" w:firstLineChars="300"/>
        <w:rPr>
          <w:sz w:val="32"/>
          <w:szCs w:val="32"/>
          <w:u w:val="single"/>
        </w:rPr>
      </w:pPr>
      <w:r>
        <w:rPr>
          <w:sz w:val="32"/>
          <w:szCs w:val="32"/>
        </w:rPr>
        <w:t xml:space="preserve">          </w:t>
      </w:r>
      <w:r>
        <w:rPr>
          <w:rFonts w:hint="eastAsia"/>
          <w:sz w:val="32"/>
          <w:szCs w:val="32"/>
          <w:u w:val="single"/>
        </w:rPr>
        <w:t xml:space="preserve"> </w:t>
      </w:r>
      <w:r>
        <w:rPr>
          <w:sz w:val="32"/>
          <w:szCs w:val="32"/>
          <w:u w:val="single"/>
        </w:rPr>
        <w:t xml:space="preserve">                            </w:t>
      </w:r>
    </w:p>
    <w:p w14:paraId="53869E33">
      <w:pPr>
        <w:ind w:firstLine="960" w:firstLineChars="300"/>
        <w:rPr>
          <w:sz w:val="32"/>
          <w:szCs w:val="32"/>
        </w:rPr>
      </w:pPr>
      <w:r>
        <w:rPr>
          <w:rFonts w:hint="eastAsia"/>
          <w:sz w:val="32"/>
          <w:szCs w:val="32"/>
        </w:rPr>
        <w:t xml:space="preserve"> </w:t>
      </w:r>
      <w:r>
        <w:rPr>
          <w:sz w:val="32"/>
          <w:szCs w:val="32"/>
        </w:rPr>
        <w:t xml:space="preserve">                   </w:t>
      </w:r>
    </w:p>
    <w:p w14:paraId="36F35D4D">
      <w:pPr>
        <w:jc w:val="center"/>
      </w:pPr>
    </w:p>
    <w:p w14:paraId="1F643DED">
      <w:pPr>
        <w:jc w:val="center"/>
      </w:pPr>
    </w:p>
    <w:p w14:paraId="1B824263">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院：</w:t>
      </w:r>
      <w:r>
        <w:rPr>
          <w:rFonts w:hint="eastAsia"/>
          <w:sz w:val="28"/>
          <w:szCs w:val="28"/>
          <w:u w:val="single"/>
        </w:rPr>
        <w:t xml:space="preserve"> </w:t>
      </w:r>
      <w:r>
        <w:rPr>
          <w:rFonts w:hint="eastAsia"/>
          <w:sz w:val="28"/>
          <w:szCs w:val="28"/>
          <w:u w:val="single"/>
          <w:lang w:val="en-US" w:eastAsia="zh-CN"/>
        </w:rPr>
        <w:t>集成电路科学与工程学院</w:t>
      </w:r>
      <w:r>
        <w:rPr>
          <w:sz w:val="28"/>
          <w:szCs w:val="28"/>
          <w:u w:val="single"/>
        </w:rPr>
        <w:t xml:space="preserve">  </w:t>
      </w:r>
    </w:p>
    <w:p w14:paraId="283A0697">
      <w:pPr>
        <w:ind w:left="1558" w:leftChars="742"/>
        <w:jc w:val="left"/>
        <w:rPr>
          <w:sz w:val="28"/>
          <w:szCs w:val="28"/>
          <w:u w:val="single"/>
        </w:rPr>
      </w:pPr>
      <w:r>
        <w:rPr>
          <w:rFonts w:hint="eastAsia"/>
          <w:sz w:val="28"/>
          <w:szCs w:val="28"/>
        </w:rPr>
        <w:t xml:space="preserve">班 </w:t>
      </w:r>
      <w:r>
        <w:rPr>
          <w:sz w:val="28"/>
          <w:szCs w:val="28"/>
        </w:rPr>
        <w:t xml:space="preserve">   </w:t>
      </w:r>
      <w:r>
        <w:rPr>
          <w:rFonts w:hint="eastAsia"/>
          <w:sz w:val="28"/>
          <w:szCs w:val="28"/>
        </w:rPr>
        <w:t>级：</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r>
        <w:rPr>
          <w:rFonts w:hint="eastAsia"/>
          <w:sz w:val="28"/>
          <w:szCs w:val="28"/>
          <w:u w:val="single"/>
          <w:lang w:val="en-US" w:eastAsia="zh-CN"/>
        </w:rPr>
        <w:t xml:space="preserve">B240305  </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64838DDC">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号：</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B24030513</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1298A29C">
      <w:pPr>
        <w:ind w:left="1558" w:leftChars="742"/>
        <w:jc w:val="left"/>
        <w:rPr>
          <w:sz w:val="28"/>
          <w:szCs w:val="28"/>
          <w:u w:val="single"/>
        </w:rPr>
      </w:pPr>
      <w:r>
        <w:rPr>
          <w:rFonts w:hint="eastAsia"/>
          <w:sz w:val="28"/>
          <w:szCs w:val="28"/>
        </w:rPr>
        <w:t xml:space="preserve">姓 </w:t>
      </w:r>
      <w:r>
        <w:rPr>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李宝宣   </w:t>
      </w:r>
      <w:r>
        <w:rPr>
          <w:sz w:val="28"/>
          <w:szCs w:val="28"/>
          <w:u w:val="single"/>
        </w:rPr>
        <w:t xml:space="preserve">          </w:t>
      </w:r>
    </w:p>
    <w:p w14:paraId="082C0B21">
      <w:pPr>
        <w:ind w:left="1558" w:leftChars="742"/>
        <w:jc w:val="left"/>
        <w:rPr>
          <w:sz w:val="28"/>
          <w:szCs w:val="28"/>
          <w:u w:val="single"/>
        </w:rPr>
      </w:pPr>
      <w:r>
        <w:rPr>
          <w:rFonts w:hint="eastAsia"/>
          <w:sz w:val="28"/>
          <w:szCs w:val="28"/>
        </w:rPr>
        <w:t>指导教师：</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郑开来</w:t>
      </w:r>
      <w:r>
        <w:rPr>
          <w:sz w:val="28"/>
          <w:szCs w:val="28"/>
          <w:u w:val="single"/>
        </w:rPr>
        <w:t xml:space="preserve">            </w:t>
      </w:r>
    </w:p>
    <w:p w14:paraId="021D3D5D">
      <w:pPr>
        <w:ind w:left="1558" w:leftChars="742"/>
        <w:jc w:val="left"/>
        <w:rPr>
          <w:sz w:val="28"/>
          <w:szCs w:val="28"/>
          <w:u w:val="single"/>
        </w:rPr>
      </w:pPr>
      <w:r>
        <w:rPr>
          <w:rFonts w:hint="eastAsia"/>
          <w:sz w:val="28"/>
          <w:szCs w:val="28"/>
        </w:rPr>
        <w:t xml:space="preserve">学 </w:t>
      </w:r>
      <w:r>
        <w:rPr>
          <w:sz w:val="28"/>
          <w:szCs w:val="28"/>
        </w:rPr>
        <w:t xml:space="preserve">   </w:t>
      </w:r>
      <w:r>
        <w:rPr>
          <w:rFonts w:hint="eastAsia"/>
          <w:sz w:val="28"/>
          <w:szCs w:val="28"/>
        </w:rPr>
        <w:t>期：</w:t>
      </w:r>
      <w:r>
        <w:rPr>
          <w:sz w:val="28"/>
          <w:szCs w:val="28"/>
          <w:u w:val="single"/>
        </w:rPr>
        <w:t xml:space="preserve">  </w:t>
      </w:r>
      <w:r>
        <w:rPr>
          <w:rFonts w:hint="eastAsia"/>
          <w:sz w:val="28"/>
          <w:szCs w:val="28"/>
          <w:u w:val="single"/>
          <w:lang w:val="en-US" w:eastAsia="zh-CN"/>
        </w:rPr>
        <w:t>2025-2026</w:t>
      </w:r>
      <w:r>
        <w:rPr>
          <w:sz w:val="28"/>
          <w:szCs w:val="28"/>
          <w:u w:val="single"/>
        </w:rPr>
        <w:t xml:space="preserve"> </w:t>
      </w:r>
      <w:r>
        <w:rPr>
          <w:rFonts w:hint="eastAsia"/>
          <w:sz w:val="28"/>
          <w:szCs w:val="28"/>
        </w:rPr>
        <w:t>学年第</w:t>
      </w:r>
      <w:r>
        <w:rPr>
          <w:rFonts w:hint="eastAsia"/>
          <w:sz w:val="28"/>
          <w:szCs w:val="28"/>
          <w:u w:val="single"/>
        </w:rPr>
        <w:t xml:space="preserve"> </w:t>
      </w:r>
      <w:r>
        <w:rPr>
          <w:rFonts w:hint="eastAsia"/>
          <w:sz w:val="28"/>
          <w:szCs w:val="28"/>
          <w:u w:val="single"/>
          <w:lang w:val="en-US" w:eastAsia="zh-CN"/>
        </w:rPr>
        <w:t>一</w:t>
      </w:r>
      <w:r>
        <w:rPr>
          <w:sz w:val="28"/>
          <w:szCs w:val="28"/>
          <w:u w:val="single"/>
        </w:rPr>
        <w:t xml:space="preserve"> </w:t>
      </w:r>
      <w:r>
        <w:rPr>
          <w:rFonts w:hint="eastAsia"/>
          <w:sz w:val="28"/>
          <w:szCs w:val="28"/>
        </w:rPr>
        <w:t>学期</w:t>
      </w:r>
    </w:p>
    <w:p w14:paraId="5BEFF3C4">
      <w:pPr>
        <w:rPr>
          <w:u w:val="single"/>
        </w:rPr>
      </w:pPr>
    </w:p>
    <w:p w14:paraId="60F5FD9F">
      <w:pPr>
        <w:rPr>
          <w:u w:val="single"/>
        </w:rPr>
      </w:pPr>
    </w:p>
    <w:p w14:paraId="62E86456">
      <w:pPr>
        <w:rPr>
          <w:u w:val="single"/>
        </w:rPr>
      </w:pPr>
    </w:p>
    <w:p w14:paraId="32B1CD08">
      <w:pPr>
        <w:jc w:val="center"/>
        <w:rPr>
          <w:sz w:val="28"/>
          <w:szCs w:val="28"/>
        </w:rPr>
      </w:pPr>
      <w:r>
        <w:rPr>
          <w:rFonts w:hint="eastAsia"/>
          <w:sz w:val="28"/>
          <w:szCs w:val="28"/>
        </w:rPr>
        <w:t>电工电子实验教学中心</w:t>
      </w:r>
    </w:p>
    <w:p w14:paraId="3DB1187C">
      <w:pPr>
        <w:jc w:val="center"/>
        <w:rPr>
          <w:b/>
          <w:bCs/>
          <w:sz w:val="30"/>
          <w:szCs w:val="30"/>
        </w:rPr>
      </w:pPr>
      <w:r>
        <w:rPr>
          <w:rFonts w:hint="eastAsia"/>
          <w:b/>
          <w:bCs/>
          <w:sz w:val="30"/>
          <w:szCs w:val="30"/>
        </w:rPr>
        <w:t>实验</w:t>
      </w:r>
      <w:r>
        <w:rPr>
          <w:b/>
          <w:bCs/>
          <w:sz w:val="30"/>
          <w:szCs w:val="30"/>
        </w:rPr>
        <w:t>名称</w:t>
      </w:r>
    </w:p>
    <w:p w14:paraId="0E5C9066">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一、</w:t>
      </w:r>
      <w:r>
        <w:rPr>
          <w:rFonts w:hint="eastAsia"/>
          <w:sz w:val="28"/>
          <w:szCs w:val="28"/>
        </w:rPr>
        <w:t>实验目的</w:t>
      </w:r>
    </w:p>
    <w:p w14:paraId="348D88BF">
      <w:pPr>
        <w:pStyle w:val="6"/>
        <w:numPr>
          <w:ilvl w:val="0"/>
          <w:numId w:val="0"/>
        </w:numPr>
        <w:ind w:left="1440" w:leftChars="0" w:hanging="720" w:firstLineChars="0"/>
        <w:jc w:val="left"/>
        <w:rPr>
          <w:rFonts w:hint="default" w:ascii="宋体" w:hAnsi="宋体" w:eastAsia="宋体" w:cstheme="minorBidi"/>
          <w:kern w:val="2"/>
          <w:sz w:val="21"/>
          <w:szCs w:val="21"/>
          <w:lang w:val="en-US" w:eastAsia="zh-CN" w:bidi="ar-SA"/>
        </w:rPr>
      </w:pPr>
      <w:r>
        <w:rPr>
          <w:rFonts w:hint="default" w:ascii="宋体" w:hAnsi="宋体" w:eastAsia="宋体" w:cstheme="minorBidi"/>
          <w:kern w:val="2"/>
          <w:sz w:val="21"/>
          <w:szCs w:val="21"/>
          <w:lang w:val="en-US" w:eastAsia="zh-CN" w:bidi="ar-SA"/>
        </w:rPr>
        <w:t>1．掌握稳压电源和万用表的正确使用方法；</w:t>
      </w:r>
    </w:p>
    <w:p w14:paraId="0AAAB750">
      <w:pPr>
        <w:pStyle w:val="6"/>
        <w:numPr>
          <w:ilvl w:val="0"/>
          <w:numId w:val="0"/>
        </w:numPr>
        <w:ind w:left="1440" w:leftChars="0" w:hanging="720" w:firstLineChars="0"/>
        <w:jc w:val="left"/>
        <w:rPr>
          <w:rFonts w:hint="default" w:ascii="宋体" w:hAnsi="宋体" w:eastAsia="宋体" w:cstheme="minorBidi"/>
          <w:kern w:val="2"/>
          <w:sz w:val="21"/>
          <w:szCs w:val="21"/>
          <w:lang w:val="en-US" w:eastAsia="zh-CN" w:bidi="ar-SA"/>
        </w:rPr>
      </w:pPr>
      <w:r>
        <w:rPr>
          <w:rFonts w:hint="default" w:ascii="宋体" w:hAnsi="宋体" w:eastAsia="宋体" w:cstheme="minorBidi"/>
          <w:kern w:val="2"/>
          <w:sz w:val="21"/>
          <w:szCs w:val="21"/>
          <w:lang w:val="en-US" w:eastAsia="zh-CN" w:bidi="ar-SA"/>
        </w:rPr>
        <w:t>2．加深对线性电阻和非线性电阻特性的理解；</w:t>
      </w:r>
    </w:p>
    <w:p w14:paraId="02C05D1A">
      <w:pPr>
        <w:pStyle w:val="6"/>
        <w:numPr>
          <w:ilvl w:val="0"/>
          <w:numId w:val="0"/>
        </w:numPr>
        <w:ind w:left="1440" w:leftChars="0" w:hanging="720" w:firstLineChars="0"/>
        <w:jc w:val="left"/>
        <w:rPr>
          <w:rFonts w:hint="default" w:ascii="宋体" w:hAnsi="宋体" w:eastAsia="宋体" w:cstheme="minorBidi"/>
          <w:kern w:val="2"/>
          <w:sz w:val="21"/>
          <w:szCs w:val="21"/>
          <w:lang w:val="en-US" w:eastAsia="zh-CN" w:bidi="ar-SA"/>
        </w:rPr>
      </w:pPr>
      <w:r>
        <w:rPr>
          <w:rFonts w:hint="default" w:ascii="宋体" w:hAnsi="宋体" w:eastAsia="宋体" w:cstheme="minorBidi"/>
          <w:kern w:val="2"/>
          <w:sz w:val="21"/>
          <w:szCs w:val="21"/>
          <w:lang w:val="en-US" w:eastAsia="zh-CN" w:bidi="ar-SA"/>
        </w:rPr>
        <w:t>3．学习并掌握线性电阻和非线性电阻的伏安特性的测量方法；</w:t>
      </w:r>
    </w:p>
    <w:p w14:paraId="0AB297B2">
      <w:pPr>
        <w:pStyle w:val="6"/>
        <w:numPr>
          <w:ilvl w:val="0"/>
          <w:numId w:val="0"/>
        </w:numPr>
        <w:ind w:left="1440" w:leftChars="0" w:hanging="720" w:firstLineChars="0"/>
        <w:jc w:val="left"/>
        <w:rPr>
          <w:rFonts w:ascii="宋体" w:hAnsi="宋体" w:eastAsia="宋体"/>
          <w:szCs w:val="21"/>
        </w:rPr>
      </w:pPr>
      <w:r>
        <w:rPr>
          <w:rFonts w:hint="default" w:ascii="宋体" w:hAnsi="宋体" w:eastAsia="宋体" w:cstheme="minorBidi"/>
          <w:kern w:val="2"/>
          <w:sz w:val="21"/>
          <w:szCs w:val="21"/>
          <w:lang w:val="en-US" w:eastAsia="zh-CN" w:bidi="ar-SA"/>
        </w:rPr>
        <w:t>4．初步掌握万用表等效内阻对被测电路的影响及其分析方法。</w:t>
      </w:r>
    </w:p>
    <w:p w14:paraId="7D21987B">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二、</w:t>
      </w:r>
      <w:r>
        <w:rPr>
          <w:rFonts w:hint="eastAsia"/>
          <w:sz w:val="28"/>
          <w:szCs w:val="28"/>
        </w:rPr>
        <w:t>主要</w:t>
      </w:r>
      <w:r>
        <w:rPr>
          <w:sz w:val="28"/>
          <w:szCs w:val="28"/>
        </w:rPr>
        <w:t>仪器设备及</w:t>
      </w:r>
      <w:r>
        <w:rPr>
          <w:rFonts w:hint="eastAsia"/>
          <w:sz w:val="28"/>
          <w:szCs w:val="28"/>
        </w:rPr>
        <w:t>软件</w:t>
      </w:r>
    </w:p>
    <w:p w14:paraId="7E4EA77F">
      <w:pPr>
        <w:pStyle w:val="6"/>
        <w:numPr>
          <w:ilvl w:val="0"/>
          <w:numId w:val="0"/>
        </w:numPr>
        <w:ind w:firstLine="630" w:firstLineChars="300"/>
        <w:jc w:val="left"/>
        <w:rPr>
          <w:rFonts w:hint="default" w:ascii="宋体" w:hAnsi="宋体" w:eastAsia="宋体"/>
          <w:szCs w:val="21"/>
          <w:lang w:val="en-US" w:eastAsia="zh-CN"/>
        </w:rPr>
      </w:pPr>
      <w:r>
        <w:rPr>
          <w:rFonts w:hint="eastAsia" w:ascii="宋体" w:hAnsi="宋体" w:eastAsia="宋体"/>
          <w:szCs w:val="21"/>
        </w:rPr>
        <w:t>硬件：直流稳压电源、万用表、实验箱、导线若干</w:t>
      </w:r>
      <w:r>
        <w:rPr>
          <w:rFonts w:hint="eastAsia" w:ascii="宋体" w:hAnsi="宋体" w:eastAsia="宋体"/>
          <w:szCs w:val="21"/>
          <w:lang w:eastAsia="zh-CN"/>
        </w:rPr>
        <w:t>、</w:t>
      </w:r>
      <w:r>
        <w:rPr>
          <w:rFonts w:hint="eastAsia" w:ascii="宋体" w:hAnsi="宋体" w:eastAsia="宋体"/>
          <w:szCs w:val="21"/>
          <w:lang w:val="en-US" w:eastAsia="zh-CN"/>
        </w:rPr>
        <w:t>发光二极管，10v稳压管。</w:t>
      </w:r>
    </w:p>
    <w:p w14:paraId="52FB1C64">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三、</w:t>
      </w:r>
      <w:r>
        <w:rPr>
          <w:rFonts w:hint="eastAsia"/>
          <w:sz w:val="28"/>
          <w:szCs w:val="28"/>
        </w:rPr>
        <w:t>实验</w:t>
      </w:r>
      <w:r>
        <w:rPr>
          <w:sz w:val="28"/>
          <w:szCs w:val="28"/>
        </w:rPr>
        <w:t>原理</w:t>
      </w:r>
    </w:p>
    <w:p w14:paraId="39125269">
      <w:pPr>
        <w:pStyle w:val="6"/>
        <w:numPr>
          <w:ilvl w:val="0"/>
          <w:numId w:val="0"/>
        </w:numPr>
        <w:ind w:firstLine="630" w:firstLineChars="300"/>
        <w:jc w:val="left"/>
        <w:rPr>
          <w:rFonts w:hint="eastAsia" w:ascii="宋体" w:hAnsi="宋体" w:eastAsia="宋体"/>
          <w:szCs w:val="21"/>
        </w:rPr>
      </w:pPr>
      <w:r>
        <w:rPr>
          <w:rFonts w:hint="eastAsia" w:ascii="宋体" w:hAnsi="宋体" w:eastAsia="宋体"/>
          <w:szCs w:val="21"/>
        </w:rPr>
        <w:t>二端元件的伏安特性用电压u和电流i的函数关系及u-i曲线表示。线性电阻伏安特性是过原点的直线，电阻恒定；半导体二极管正向电流随电压剧增、反向电流极小，具单向导电性；稳压二极管反向电压达稳压值后，电流剧增而电压基本不变。</w:t>
      </w:r>
    </w:p>
    <w:p w14:paraId="1BBB12C6">
      <w:pPr>
        <w:pStyle w:val="6"/>
        <w:numPr>
          <w:ilvl w:val="0"/>
          <w:numId w:val="0"/>
        </w:numPr>
        <w:jc w:val="center"/>
        <w:rPr>
          <w:rFonts w:hint="eastAsia" w:ascii="宋体" w:hAnsi="宋体" w:eastAsia="宋体"/>
          <w:szCs w:val="21"/>
        </w:rPr>
      </w:pPr>
      <w:r>
        <w:rPr>
          <w:rFonts w:ascii="宋体" w:hAnsi="宋体" w:eastAsia="宋体" w:cs="宋体"/>
          <w:sz w:val="24"/>
          <w:szCs w:val="24"/>
        </w:rPr>
        <w:drawing>
          <wp:inline distT="0" distB="0" distL="114300" distR="114300">
            <wp:extent cx="4883785" cy="3708400"/>
            <wp:effectExtent l="0" t="0" r="5715"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6"/>
                    <a:srcRect/>
                    <a:stretch>
                      <a:fillRect/>
                    </a:stretch>
                  </pic:blipFill>
                  <pic:spPr>
                    <a:xfrm>
                      <a:off x="0" y="0"/>
                      <a:ext cx="4883785" cy="3708400"/>
                    </a:xfrm>
                    <a:prstGeom prst="rect">
                      <a:avLst/>
                    </a:prstGeom>
                    <a:noFill/>
                    <a:ln w="9525">
                      <a:noFill/>
                    </a:ln>
                  </pic:spPr>
                </pic:pic>
              </a:graphicData>
            </a:graphic>
          </wp:inline>
        </w:drawing>
      </w:r>
    </w:p>
    <w:p w14:paraId="18DD1D53">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四、</w:t>
      </w:r>
      <w:r>
        <w:rPr>
          <w:rFonts w:hint="eastAsia"/>
          <w:sz w:val="28"/>
          <w:szCs w:val="28"/>
        </w:rPr>
        <w:t>实验电路图</w:t>
      </w:r>
    </w:p>
    <w:p w14:paraId="55C659DB">
      <w:pPr>
        <w:pStyle w:val="6"/>
        <w:ind w:left="0" w:leftChars="0" w:firstLine="0" w:firstLine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5234305" cy="1737995"/>
            <wp:effectExtent l="0" t="0" r="10795" b="190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7"/>
                    <a:srcRect/>
                    <a:stretch>
                      <a:fillRect/>
                    </a:stretch>
                  </pic:blipFill>
                  <pic:spPr>
                    <a:xfrm>
                      <a:off x="0" y="0"/>
                      <a:ext cx="5234305" cy="1737995"/>
                    </a:xfrm>
                    <a:prstGeom prst="rect">
                      <a:avLst/>
                    </a:prstGeom>
                    <a:noFill/>
                    <a:ln w="9525">
                      <a:noFill/>
                    </a:ln>
                  </pic:spPr>
                </pic:pic>
              </a:graphicData>
            </a:graphic>
          </wp:inline>
        </w:drawing>
      </w:r>
    </w:p>
    <w:p w14:paraId="0E492194">
      <w:pPr>
        <w:pStyle w:val="6"/>
        <w:ind w:left="0" w:leftChars="0" w:firstLine="0" w:firstLine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5325745" cy="1515110"/>
            <wp:effectExtent l="0" t="0" r="8255" b="889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8"/>
                    <a:srcRect/>
                    <a:stretch>
                      <a:fillRect/>
                    </a:stretch>
                  </pic:blipFill>
                  <pic:spPr>
                    <a:xfrm>
                      <a:off x="0" y="0"/>
                      <a:ext cx="5325745" cy="1515110"/>
                    </a:xfrm>
                    <a:prstGeom prst="rect">
                      <a:avLst/>
                    </a:prstGeom>
                    <a:noFill/>
                    <a:ln w="9525">
                      <a:noFill/>
                    </a:ln>
                  </pic:spPr>
                </pic:pic>
              </a:graphicData>
            </a:graphic>
          </wp:inline>
        </w:drawing>
      </w:r>
    </w:p>
    <w:p w14:paraId="459FB511">
      <w:pPr>
        <w:pStyle w:val="6"/>
        <w:ind w:left="0" w:leftChars="0" w:firstLine="0" w:firstLineChars="0"/>
        <w:jc w:val="both"/>
        <w:rPr>
          <w:rFonts w:ascii="宋体" w:hAnsi="宋体" w:eastAsia="宋体" w:cs="宋体"/>
          <w:sz w:val="24"/>
          <w:szCs w:val="24"/>
        </w:rPr>
      </w:pPr>
    </w:p>
    <w:p w14:paraId="5C9DB825">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五、</w:t>
      </w:r>
      <w:r>
        <w:rPr>
          <w:rFonts w:hint="eastAsia"/>
          <w:sz w:val="28"/>
          <w:szCs w:val="28"/>
        </w:rPr>
        <w:t>实验内容和</w:t>
      </w:r>
      <w:r>
        <w:rPr>
          <w:sz w:val="28"/>
          <w:szCs w:val="28"/>
        </w:rPr>
        <w:t>实验结果</w:t>
      </w:r>
    </w:p>
    <w:p w14:paraId="2AD4DB05">
      <w:pPr>
        <w:pStyle w:val="6"/>
        <w:numPr>
          <w:ilvl w:val="0"/>
          <w:numId w:val="0"/>
        </w:numPr>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1.测量发光二极管的正反向伏安特性</w:t>
      </w:r>
    </w:p>
    <w:p w14:paraId="440BE9FD">
      <w:pPr>
        <w:pStyle w:val="6"/>
        <w:numPr>
          <w:ilvl w:val="0"/>
          <w:numId w:val="0"/>
        </w:numPr>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测量发光二极管的正向伏安特性：按图3.4（a）所示电路接线，图中R为限流电阻，发光二极管的正向工作电压为1.5~3V，允许通过的电流为2~20mA，测量发光二极管的正向特性时，其正向电流不能超过发光二极管允许通过的最大电流，否则发光二极管会被烧坏。</w:t>
      </w:r>
    </w:p>
    <w:p w14:paraId="7C201736">
      <w:pPr>
        <w:pStyle w:val="6"/>
        <w:numPr>
          <w:ilvl w:val="0"/>
          <w:numId w:val="0"/>
        </w:numPr>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调节直流稳压电源的输出电压，使发光二极管两端的电压缓慢增加，按表1给定的发光二极管两端的电流值测量对应的电压值，数据记录于表1中。</w:t>
      </w:r>
    </w:p>
    <w:p w14:paraId="244D0D8B">
      <w:pPr>
        <w:pStyle w:val="6"/>
        <w:numPr>
          <w:ilvl w:val="0"/>
          <w:numId w:val="0"/>
        </w:numPr>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测量发光二极管的反向伏安特性：按图3.4（b）所示电路接线，调节直流稳压电源的输出电压，使发光二极管两端的电压缓慢增加，根据表1给定的发光二极管通过发光二极管的电流值，数据记录于表1中。注意反向电压不能超过发光二极管的反向击穿电压。</w:t>
      </w:r>
    </w:p>
    <w:p w14:paraId="205483FC">
      <w:pPr>
        <w:pStyle w:val="6"/>
        <w:numPr>
          <w:ilvl w:val="0"/>
          <w:numId w:val="0"/>
        </w:numPr>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2.测量稳压二极管的正反向伏安特性</w:t>
      </w:r>
    </w:p>
    <w:p w14:paraId="573DB433">
      <w:pPr>
        <w:pStyle w:val="6"/>
        <w:numPr>
          <w:ilvl w:val="0"/>
          <w:numId w:val="0"/>
        </w:numPr>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测量稳压二极管的正向伏安特性：按图3.5（a）所示电路接线，调节直流稳压电源的输出电压，使稳压二极管两端的电压缓慢增加，根据表1给定的电流值，测量对应的稳压二极管的正向电压值，数据记录于表1中。</w:t>
      </w:r>
    </w:p>
    <w:p w14:paraId="517CB198">
      <w:pPr>
        <w:pStyle w:val="6"/>
        <w:numPr>
          <w:ilvl w:val="0"/>
          <w:numId w:val="0"/>
        </w:numPr>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测量稳压二极管的反向伏安特性：按图3.5（b）所示电路接线，调节直流稳压电源的输出电压，使稳压二极管两端的电压缓慢增加，按表1给定的电压值，测量对应的稳压二极管的反向电流，然后按给定的电流值测量对应的反向电压，数据记录于表1中。</w:t>
      </w:r>
    </w:p>
    <w:p w14:paraId="074DC1D0">
      <w:pPr>
        <w:pStyle w:val="6"/>
        <w:numPr>
          <w:ilvl w:val="0"/>
          <w:numId w:val="0"/>
        </w:numPr>
        <w:ind w:firstLine="42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3.绘制伏安特性曲线</w:t>
      </w:r>
    </w:p>
    <w:p w14:paraId="2170AB4B">
      <w:pPr>
        <w:pStyle w:val="6"/>
        <w:numPr>
          <w:ilvl w:val="0"/>
          <w:numId w:val="0"/>
        </w:numPr>
        <w:ind w:firstLine="420" w:firstLineChars="200"/>
        <w:jc w:val="left"/>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根据实测数据，绘制发光二极管和稳压二极管的伏安特性曲线。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66"/>
        <w:gridCol w:w="326"/>
        <w:gridCol w:w="766"/>
        <w:gridCol w:w="766"/>
        <w:gridCol w:w="876"/>
        <w:gridCol w:w="876"/>
        <w:gridCol w:w="876"/>
        <w:gridCol w:w="876"/>
        <w:gridCol w:w="766"/>
        <w:gridCol w:w="766"/>
        <w:gridCol w:w="766"/>
      </w:tblGrid>
      <w:tr w14:paraId="79810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0" w:type="auto"/>
            <w:gridSpan w:val="11"/>
            <w:tcBorders>
              <w:top w:val="nil"/>
              <w:left w:val="nil"/>
              <w:bottom w:val="nil"/>
              <w:right w:val="nil"/>
            </w:tcBorders>
            <w:shd w:val="clear"/>
            <w:noWrap/>
            <w:vAlign w:val="center"/>
          </w:tcPr>
          <w:p w14:paraId="7534E002">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正向发光二极管</w:t>
            </w:r>
          </w:p>
        </w:tc>
      </w:tr>
      <w:tr w14:paraId="6231C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tcBorders>
              <w:top w:val="nil"/>
              <w:left w:val="nil"/>
              <w:bottom w:val="nil"/>
              <w:right w:val="nil"/>
            </w:tcBorders>
            <w:shd w:val="clear"/>
            <w:noWrap/>
            <w:vAlign w:val="center"/>
          </w:tcPr>
          <w:p w14:paraId="6C7A42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Ud/V</w:t>
            </w:r>
          </w:p>
        </w:tc>
        <w:tc>
          <w:tcPr>
            <w:tcW w:w="0" w:type="auto"/>
            <w:tcBorders>
              <w:top w:val="nil"/>
              <w:left w:val="nil"/>
              <w:bottom w:val="nil"/>
              <w:right w:val="nil"/>
            </w:tcBorders>
            <w:shd w:val="clear"/>
            <w:noWrap/>
            <w:vAlign w:val="center"/>
          </w:tcPr>
          <w:p w14:paraId="7ED8650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00E49A4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1.827</w:t>
            </w:r>
          </w:p>
        </w:tc>
        <w:tc>
          <w:tcPr>
            <w:tcW w:w="0" w:type="auto"/>
            <w:tcBorders>
              <w:top w:val="nil"/>
              <w:left w:val="nil"/>
              <w:bottom w:val="nil"/>
              <w:right w:val="nil"/>
            </w:tcBorders>
            <w:shd w:val="clear"/>
            <w:noWrap/>
            <w:vAlign w:val="center"/>
          </w:tcPr>
          <w:p w14:paraId="0715F07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1.865</w:t>
            </w:r>
          </w:p>
        </w:tc>
        <w:tc>
          <w:tcPr>
            <w:tcW w:w="0" w:type="auto"/>
            <w:tcBorders>
              <w:top w:val="nil"/>
              <w:left w:val="nil"/>
              <w:bottom w:val="nil"/>
              <w:right w:val="nil"/>
            </w:tcBorders>
            <w:shd w:val="clear"/>
            <w:noWrap/>
            <w:vAlign w:val="center"/>
          </w:tcPr>
          <w:p w14:paraId="79501FC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1.890 </w:t>
            </w:r>
          </w:p>
        </w:tc>
        <w:tc>
          <w:tcPr>
            <w:tcW w:w="0" w:type="auto"/>
            <w:tcBorders>
              <w:top w:val="nil"/>
              <w:left w:val="nil"/>
              <w:bottom w:val="nil"/>
              <w:right w:val="nil"/>
            </w:tcBorders>
            <w:shd w:val="clear"/>
            <w:noWrap/>
            <w:vAlign w:val="center"/>
          </w:tcPr>
          <w:p w14:paraId="22188AA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1.910 </w:t>
            </w:r>
          </w:p>
        </w:tc>
        <w:tc>
          <w:tcPr>
            <w:tcW w:w="0" w:type="auto"/>
            <w:tcBorders>
              <w:top w:val="nil"/>
              <w:left w:val="nil"/>
              <w:bottom w:val="nil"/>
              <w:right w:val="nil"/>
            </w:tcBorders>
            <w:shd w:val="clear"/>
            <w:noWrap/>
            <w:vAlign w:val="center"/>
          </w:tcPr>
          <w:p w14:paraId="3593FE7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1.926</w:t>
            </w:r>
          </w:p>
        </w:tc>
        <w:tc>
          <w:tcPr>
            <w:tcW w:w="0" w:type="auto"/>
            <w:tcBorders>
              <w:top w:val="nil"/>
              <w:left w:val="nil"/>
              <w:bottom w:val="nil"/>
              <w:right w:val="nil"/>
            </w:tcBorders>
            <w:shd w:val="clear"/>
            <w:noWrap/>
            <w:vAlign w:val="center"/>
          </w:tcPr>
          <w:p w14:paraId="27FE1BB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1.987</w:t>
            </w:r>
          </w:p>
        </w:tc>
        <w:tc>
          <w:tcPr>
            <w:tcW w:w="0" w:type="auto"/>
            <w:tcBorders>
              <w:top w:val="nil"/>
              <w:left w:val="nil"/>
              <w:bottom w:val="nil"/>
              <w:right w:val="nil"/>
            </w:tcBorders>
            <w:shd w:val="clear"/>
            <w:noWrap/>
            <w:vAlign w:val="center"/>
          </w:tcPr>
          <w:p w14:paraId="7013050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2.026</w:t>
            </w:r>
          </w:p>
        </w:tc>
        <w:tc>
          <w:tcPr>
            <w:tcW w:w="0" w:type="auto"/>
            <w:tcBorders>
              <w:top w:val="nil"/>
              <w:left w:val="nil"/>
              <w:bottom w:val="nil"/>
              <w:right w:val="nil"/>
            </w:tcBorders>
            <w:shd w:val="clear"/>
            <w:noWrap/>
            <w:vAlign w:val="center"/>
          </w:tcPr>
          <w:p w14:paraId="3ADBD64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2.053</w:t>
            </w:r>
          </w:p>
        </w:tc>
        <w:tc>
          <w:tcPr>
            <w:tcW w:w="0" w:type="auto"/>
            <w:tcBorders>
              <w:top w:val="nil"/>
              <w:left w:val="nil"/>
              <w:bottom w:val="nil"/>
              <w:right w:val="nil"/>
            </w:tcBorders>
            <w:shd w:val="clear"/>
            <w:noWrap/>
            <w:vAlign w:val="center"/>
          </w:tcPr>
          <w:p w14:paraId="536B5199">
            <w:pPr>
              <w:rPr>
                <w:rFonts w:hint="eastAsia" w:ascii="宋体" w:hAnsi="宋体" w:eastAsia="宋体" w:cs="宋体"/>
                <w:i w:val="0"/>
                <w:iCs w:val="0"/>
                <w:color w:val="000000"/>
                <w:sz w:val="22"/>
                <w:szCs w:val="22"/>
                <w:u w:val="none"/>
              </w:rPr>
            </w:pPr>
          </w:p>
        </w:tc>
      </w:tr>
      <w:tr w14:paraId="749FD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tcBorders>
              <w:top w:val="nil"/>
              <w:left w:val="nil"/>
              <w:bottom w:val="nil"/>
              <w:right w:val="nil"/>
            </w:tcBorders>
            <w:shd w:val="clear"/>
            <w:noWrap/>
            <w:vAlign w:val="center"/>
          </w:tcPr>
          <w:p w14:paraId="4D4E83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Id/mA</w:t>
            </w:r>
          </w:p>
        </w:tc>
        <w:tc>
          <w:tcPr>
            <w:tcW w:w="0" w:type="auto"/>
            <w:tcBorders>
              <w:top w:val="nil"/>
              <w:left w:val="nil"/>
              <w:bottom w:val="nil"/>
              <w:right w:val="nil"/>
            </w:tcBorders>
            <w:shd w:val="clear"/>
            <w:noWrap/>
            <w:vAlign w:val="center"/>
          </w:tcPr>
          <w:p w14:paraId="57926E9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5C2A11A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1CE0743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center"/>
          </w:tcPr>
          <w:p w14:paraId="01530FC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center"/>
          </w:tcPr>
          <w:p w14:paraId="4CDECBC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center"/>
          </w:tcPr>
          <w:p w14:paraId="3FFE190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center"/>
          </w:tcPr>
          <w:p w14:paraId="49D3FC7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10</w:t>
            </w:r>
          </w:p>
        </w:tc>
        <w:tc>
          <w:tcPr>
            <w:tcW w:w="0" w:type="auto"/>
            <w:tcBorders>
              <w:top w:val="nil"/>
              <w:left w:val="nil"/>
              <w:bottom w:val="nil"/>
              <w:right w:val="nil"/>
            </w:tcBorders>
            <w:shd w:val="clear"/>
            <w:noWrap/>
            <w:vAlign w:val="center"/>
          </w:tcPr>
          <w:p w14:paraId="15F173E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15</w:t>
            </w:r>
          </w:p>
        </w:tc>
        <w:tc>
          <w:tcPr>
            <w:tcW w:w="0" w:type="auto"/>
            <w:tcBorders>
              <w:top w:val="nil"/>
              <w:left w:val="nil"/>
              <w:bottom w:val="nil"/>
              <w:right w:val="nil"/>
            </w:tcBorders>
            <w:shd w:val="clear"/>
            <w:noWrap/>
            <w:vAlign w:val="center"/>
          </w:tcPr>
          <w:p w14:paraId="1ACD586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w:t>
            </w:r>
          </w:p>
        </w:tc>
        <w:tc>
          <w:tcPr>
            <w:tcW w:w="0" w:type="auto"/>
            <w:tcBorders>
              <w:top w:val="nil"/>
              <w:left w:val="nil"/>
              <w:bottom w:val="nil"/>
              <w:right w:val="nil"/>
            </w:tcBorders>
            <w:shd w:val="clear"/>
            <w:noWrap/>
            <w:vAlign w:val="center"/>
          </w:tcPr>
          <w:p w14:paraId="3F865825">
            <w:pPr>
              <w:rPr>
                <w:rFonts w:hint="eastAsia" w:ascii="宋体" w:hAnsi="宋体" w:eastAsia="宋体" w:cs="宋体"/>
                <w:i w:val="0"/>
                <w:iCs w:val="0"/>
                <w:color w:val="000000"/>
                <w:sz w:val="22"/>
                <w:szCs w:val="22"/>
                <w:u w:val="none"/>
              </w:rPr>
            </w:pPr>
          </w:p>
        </w:tc>
      </w:tr>
      <w:tr w14:paraId="727A5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gridSpan w:val="11"/>
            <w:tcBorders>
              <w:top w:val="nil"/>
              <w:left w:val="nil"/>
              <w:bottom w:val="nil"/>
              <w:right w:val="nil"/>
            </w:tcBorders>
            <w:shd w:val="clear"/>
            <w:noWrap/>
            <w:vAlign w:val="center"/>
          </w:tcPr>
          <w:p w14:paraId="3E373EEA">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正向稳压管</w:t>
            </w:r>
          </w:p>
        </w:tc>
      </w:tr>
      <w:tr w14:paraId="1112E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tcBorders>
              <w:top w:val="nil"/>
              <w:left w:val="nil"/>
              <w:bottom w:val="nil"/>
              <w:right w:val="nil"/>
            </w:tcBorders>
            <w:shd w:val="clear"/>
            <w:noWrap/>
            <w:vAlign w:val="center"/>
          </w:tcPr>
          <w:p w14:paraId="5D34573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Ud/V</w:t>
            </w:r>
          </w:p>
        </w:tc>
        <w:tc>
          <w:tcPr>
            <w:tcW w:w="0" w:type="auto"/>
            <w:tcBorders>
              <w:top w:val="nil"/>
              <w:left w:val="nil"/>
              <w:bottom w:val="nil"/>
              <w:right w:val="nil"/>
            </w:tcBorders>
            <w:shd w:val="clear"/>
            <w:noWrap/>
            <w:vAlign w:val="center"/>
          </w:tcPr>
          <w:p w14:paraId="33ED11D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7632589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0.694</w:t>
            </w:r>
          </w:p>
        </w:tc>
        <w:tc>
          <w:tcPr>
            <w:tcW w:w="0" w:type="auto"/>
            <w:tcBorders>
              <w:top w:val="nil"/>
              <w:left w:val="nil"/>
              <w:bottom w:val="nil"/>
              <w:right w:val="nil"/>
            </w:tcBorders>
            <w:shd w:val="clear"/>
            <w:noWrap/>
            <w:vAlign w:val="center"/>
          </w:tcPr>
          <w:p w14:paraId="2AF0365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0.719</w:t>
            </w:r>
          </w:p>
        </w:tc>
        <w:tc>
          <w:tcPr>
            <w:tcW w:w="0" w:type="auto"/>
            <w:tcBorders>
              <w:top w:val="nil"/>
              <w:left w:val="nil"/>
              <w:bottom w:val="nil"/>
              <w:right w:val="nil"/>
            </w:tcBorders>
            <w:shd w:val="clear"/>
            <w:noWrap/>
            <w:vAlign w:val="center"/>
          </w:tcPr>
          <w:p w14:paraId="1BD6FA7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0.735</w:t>
            </w:r>
          </w:p>
        </w:tc>
        <w:tc>
          <w:tcPr>
            <w:tcW w:w="0" w:type="auto"/>
            <w:tcBorders>
              <w:top w:val="nil"/>
              <w:left w:val="nil"/>
              <w:bottom w:val="nil"/>
              <w:right w:val="nil"/>
            </w:tcBorders>
            <w:shd w:val="clear"/>
            <w:noWrap/>
            <w:vAlign w:val="center"/>
          </w:tcPr>
          <w:p w14:paraId="3CA99C1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0.7460 </w:t>
            </w:r>
          </w:p>
        </w:tc>
        <w:tc>
          <w:tcPr>
            <w:tcW w:w="0" w:type="auto"/>
            <w:tcBorders>
              <w:top w:val="nil"/>
              <w:left w:val="nil"/>
              <w:bottom w:val="nil"/>
              <w:right w:val="nil"/>
            </w:tcBorders>
            <w:shd w:val="clear"/>
            <w:noWrap/>
            <w:vAlign w:val="center"/>
          </w:tcPr>
          <w:p w14:paraId="058946D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0.754</w:t>
            </w:r>
          </w:p>
        </w:tc>
        <w:tc>
          <w:tcPr>
            <w:tcW w:w="0" w:type="auto"/>
            <w:tcBorders>
              <w:top w:val="nil"/>
              <w:left w:val="nil"/>
              <w:bottom w:val="nil"/>
              <w:right w:val="nil"/>
            </w:tcBorders>
            <w:shd w:val="clear"/>
            <w:noWrap/>
            <w:vAlign w:val="center"/>
          </w:tcPr>
          <w:p w14:paraId="625F0C7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0.771</w:t>
            </w:r>
          </w:p>
        </w:tc>
        <w:tc>
          <w:tcPr>
            <w:tcW w:w="0" w:type="auto"/>
            <w:tcBorders>
              <w:top w:val="nil"/>
              <w:left w:val="nil"/>
              <w:bottom w:val="nil"/>
              <w:right w:val="nil"/>
            </w:tcBorders>
            <w:shd w:val="clear"/>
            <w:noWrap/>
            <w:vAlign w:val="center"/>
          </w:tcPr>
          <w:p w14:paraId="0ADC64C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0.78</w:t>
            </w:r>
          </w:p>
        </w:tc>
        <w:tc>
          <w:tcPr>
            <w:tcW w:w="0" w:type="auto"/>
            <w:tcBorders>
              <w:top w:val="nil"/>
              <w:left w:val="nil"/>
              <w:bottom w:val="nil"/>
              <w:right w:val="nil"/>
            </w:tcBorders>
            <w:shd w:val="clear"/>
            <w:noWrap/>
            <w:vAlign w:val="center"/>
          </w:tcPr>
          <w:p w14:paraId="2070286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0.794</w:t>
            </w:r>
          </w:p>
        </w:tc>
        <w:tc>
          <w:tcPr>
            <w:tcW w:w="0" w:type="auto"/>
            <w:tcBorders>
              <w:top w:val="nil"/>
              <w:left w:val="nil"/>
              <w:bottom w:val="nil"/>
              <w:right w:val="nil"/>
            </w:tcBorders>
            <w:shd w:val="clear"/>
            <w:noWrap/>
            <w:vAlign w:val="center"/>
          </w:tcPr>
          <w:p w14:paraId="01327DD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0.805</w:t>
            </w:r>
          </w:p>
        </w:tc>
      </w:tr>
      <w:tr w14:paraId="6D8AE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tcBorders>
              <w:top w:val="nil"/>
              <w:left w:val="nil"/>
              <w:bottom w:val="nil"/>
              <w:right w:val="nil"/>
            </w:tcBorders>
            <w:shd w:val="clear"/>
            <w:noWrap/>
            <w:vAlign w:val="center"/>
          </w:tcPr>
          <w:p w14:paraId="1FAB26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Id/mA</w:t>
            </w:r>
          </w:p>
        </w:tc>
        <w:tc>
          <w:tcPr>
            <w:tcW w:w="0" w:type="auto"/>
            <w:tcBorders>
              <w:top w:val="nil"/>
              <w:left w:val="nil"/>
              <w:bottom w:val="nil"/>
              <w:right w:val="nil"/>
            </w:tcBorders>
            <w:shd w:val="clear"/>
            <w:noWrap/>
            <w:vAlign w:val="center"/>
          </w:tcPr>
          <w:p w14:paraId="47347CB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294ED95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2DC9ED4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center"/>
          </w:tcPr>
          <w:p w14:paraId="4B9F1F7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center"/>
          </w:tcPr>
          <w:p w14:paraId="09F71F1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center"/>
          </w:tcPr>
          <w:p w14:paraId="00C4570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center"/>
          </w:tcPr>
          <w:p w14:paraId="429A399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8</w:t>
            </w:r>
          </w:p>
        </w:tc>
        <w:tc>
          <w:tcPr>
            <w:tcW w:w="0" w:type="auto"/>
            <w:tcBorders>
              <w:top w:val="nil"/>
              <w:left w:val="nil"/>
              <w:bottom w:val="nil"/>
              <w:right w:val="nil"/>
            </w:tcBorders>
            <w:shd w:val="clear"/>
            <w:noWrap/>
            <w:vAlign w:val="center"/>
          </w:tcPr>
          <w:p w14:paraId="748DDE3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10</w:t>
            </w:r>
          </w:p>
        </w:tc>
        <w:tc>
          <w:tcPr>
            <w:tcW w:w="0" w:type="auto"/>
            <w:tcBorders>
              <w:top w:val="nil"/>
              <w:left w:val="nil"/>
              <w:bottom w:val="nil"/>
              <w:right w:val="nil"/>
            </w:tcBorders>
            <w:shd w:val="clear"/>
            <w:noWrap/>
            <w:vAlign w:val="center"/>
          </w:tcPr>
          <w:p w14:paraId="717AD22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15</w:t>
            </w:r>
          </w:p>
        </w:tc>
        <w:tc>
          <w:tcPr>
            <w:tcW w:w="0" w:type="auto"/>
            <w:tcBorders>
              <w:top w:val="nil"/>
              <w:left w:val="nil"/>
              <w:bottom w:val="nil"/>
              <w:right w:val="nil"/>
            </w:tcBorders>
            <w:shd w:val="clear"/>
            <w:noWrap/>
            <w:vAlign w:val="center"/>
          </w:tcPr>
          <w:p w14:paraId="0C03C22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w:t>
            </w:r>
          </w:p>
        </w:tc>
      </w:tr>
      <w:tr w14:paraId="16945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gridSpan w:val="11"/>
            <w:tcBorders>
              <w:top w:val="nil"/>
              <w:left w:val="nil"/>
              <w:bottom w:val="nil"/>
              <w:right w:val="nil"/>
            </w:tcBorders>
            <w:shd w:val="clear"/>
            <w:noWrap/>
            <w:vAlign w:val="center"/>
          </w:tcPr>
          <w:p w14:paraId="647E8CA7">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反向发光二极管</w:t>
            </w:r>
          </w:p>
        </w:tc>
      </w:tr>
      <w:tr w14:paraId="45D88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tcBorders>
              <w:top w:val="nil"/>
              <w:left w:val="nil"/>
              <w:bottom w:val="nil"/>
              <w:right w:val="nil"/>
            </w:tcBorders>
            <w:shd w:val="clear"/>
            <w:noWrap/>
            <w:vAlign w:val="center"/>
          </w:tcPr>
          <w:p w14:paraId="75343A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Ud/V</w:t>
            </w:r>
          </w:p>
        </w:tc>
        <w:tc>
          <w:tcPr>
            <w:tcW w:w="0" w:type="auto"/>
            <w:tcBorders>
              <w:top w:val="nil"/>
              <w:left w:val="nil"/>
              <w:bottom w:val="nil"/>
              <w:right w:val="nil"/>
            </w:tcBorders>
            <w:shd w:val="clear"/>
            <w:noWrap/>
            <w:vAlign w:val="center"/>
          </w:tcPr>
          <w:p w14:paraId="2BFB51E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46166D1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48C0542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center"/>
          </w:tcPr>
          <w:p w14:paraId="13196B2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center"/>
          </w:tcPr>
          <w:p w14:paraId="5355E48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center"/>
          </w:tcPr>
          <w:p w14:paraId="18FE45B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-10</w:t>
            </w:r>
          </w:p>
        </w:tc>
        <w:tc>
          <w:tcPr>
            <w:tcW w:w="0" w:type="auto"/>
            <w:tcBorders>
              <w:top w:val="nil"/>
              <w:left w:val="nil"/>
              <w:bottom w:val="nil"/>
              <w:right w:val="nil"/>
            </w:tcBorders>
            <w:shd w:val="clear"/>
            <w:noWrap/>
            <w:vAlign w:val="center"/>
          </w:tcPr>
          <w:p w14:paraId="44281B8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w:t>
            </w:r>
          </w:p>
        </w:tc>
        <w:tc>
          <w:tcPr>
            <w:tcW w:w="0" w:type="auto"/>
            <w:tcBorders>
              <w:top w:val="nil"/>
              <w:left w:val="nil"/>
              <w:bottom w:val="nil"/>
              <w:right w:val="nil"/>
            </w:tcBorders>
            <w:shd w:val="clear"/>
            <w:noWrap/>
            <w:vAlign w:val="center"/>
          </w:tcPr>
          <w:p w14:paraId="012FA300">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228CB7A9">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07E450D6">
            <w:pPr>
              <w:rPr>
                <w:rFonts w:hint="eastAsia" w:ascii="宋体" w:hAnsi="宋体" w:eastAsia="宋体" w:cs="宋体"/>
                <w:i w:val="0"/>
                <w:iCs w:val="0"/>
                <w:color w:val="000000"/>
                <w:sz w:val="22"/>
                <w:szCs w:val="22"/>
                <w:u w:val="none"/>
              </w:rPr>
            </w:pPr>
          </w:p>
        </w:tc>
      </w:tr>
      <w:tr w14:paraId="3667D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tcBorders>
              <w:top w:val="nil"/>
              <w:left w:val="nil"/>
              <w:bottom w:val="nil"/>
              <w:right w:val="nil"/>
            </w:tcBorders>
            <w:shd w:val="clear"/>
            <w:noWrap/>
            <w:vAlign w:val="center"/>
          </w:tcPr>
          <w:p w14:paraId="1FA579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Id/uA</w:t>
            </w:r>
          </w:p>
        </w:tc>
        <w:tc>
          <w:tcPr>
            <w:tcW w:w="0" w:type="auto"/>
            <w:tcBorders>
              <w:top w:val="nil"/>
              <w:left w:val="nil"/>
              <w:bottom w:val="nil"/>
              <w:right w:val="nil"/>
            </w:tcBorders>
            <w:shd w:val="clear"/>
            <w:noWrap/>
            <w:vAlign w:val="center"/>
          </w:tcPr>
          <w:p w14:paraId="35E0557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079B8E2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2E2D205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6F89882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46ECF14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2A1177F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6B8ACBA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74C791D9">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2ACE6C92">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416F8B5A">
            <w:pPr>
              <w:rPr>
                <w:rFonts w:hint="eastAsia" w:ascii="宋体" w:hAnsi="宋体" w:eastAsia="宋体" w:cs="宋体"/>
                <w:i w:val="0"/>
                <w:iCs w:val="0"/>
                <w:color w:val="000000"/>
                <w:sz w:val="22"/>
                <w:szCs w:val="22"/>
                <w:u w:val="none"/>
              </w:rPr>
            </w:pPr>
          </w:p>
        </w:tc>
      </w:tr>
      <w:tr w14:paraId="317B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gridSpan w:val="11"/>
            <w:tcBorders>
              <w:top w:val="nil"/>
              <w:left w:val="nil"/>
              <w:bottom w:val="nil"/>
              <w:right w:val="nil"/>
            </w:tcBorders>
            <w:shd w:val="clear"/>
            <w:noWrap/>
            <w:vAlign w:val="center"/>
          </w:tcPr>
          <w:p w14:paraId="57AC8C36">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反向稳压管</w:t>
            </w:r>
          </w:p>
        </w:tc>
      </w:tr>
      <w:tr w14:paraId="23A7B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tcBorders>
              <w:top w:val="nil"/>
              <w:left w:val="nil"/>
              <w:bottom w:val="nil"/>
              <w:right w:val="nil"/>
            </w:tcBorders>
            <w:shd w:val="clear"/>
            <w:noWrap/>
            <w:vAlign w:val="center"/>
          </w:tcPr>
          <w:p w14:paraId="6D162F5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Ud/V</w:t>
            </w:r>
          </w:p>
        </w:tc>
        <w:tc>
          <w:tcPr>
            <w:tcW w:w="0" w:type="auto"/>
            <w:tcBorders>
              <w:top w:val="nil"/>
              <w:left w:val="nil"/>
              <w:bottom w:val="nil"/>
              <w:right w:val="nil"/>
            </w:tcBorders>
            <w:shd w:val="clear"/>
            <w:noWrap/>
            <w:vAlign w:val="center"/>
          </w:tcPr>
          <w:p w14:paraId="35677F1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2698138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1BD0DF2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center"/>
          </w:tcPr>
          <w:p w14:paraId="2627942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-9.734</w:t>
            </w:r>
          </w:p>
        </w:tc>
        <w:tc>
          <w:tcPr>
            <w:tcW w:w="0" w:type="auto"/>
            <w:tcBorders>
              <w:top w:val="nil"/>
              <w:left w:val="nil"/>
              <w:bottom w:val="nil"/>
              <w:right w:val="nil"/>
            </w:tcBorders>
            <w:shd w:val="clear"/>
            <w:noWrap/>
            <w:vAlign w:val="center"/>
          </w:tcPr>
          <w:p w14:paraId="1E38E1A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-9.747</w:t>
            </w:r>
          </w:p>
        </w:tc>
        <w:tc>
          <w:tcPr>
            <w:tcW w:w="0" w:type="auto"/>
            <w:tcBorders>
              <w:top w:val="nil"/>
              <w:left w:val="nil"/>
              <w:bottom w:val="nil"/>
              <w:right w:val="nil"/>
            </w:tcBorders>
            <w:shd w:val="clear"/>
            <w:noWrap/>
            <w:vAlign w:val="center"/>
          </w:tcPr>
          <w:p w14:paraId="777F95F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-9.772</w:t>
            </w:r>
          </w:p>
        </w:tc>
        <w:tc>
          <w:tcPr>
            <w:tcW w:w="0" w:type="auto"/>
            <w:tcBorders>
              <w:top w:val="nil"/>
              <w:left w:val="nil"/>
              <w:bottom w:val="nil"/>
              <w:right w:val="nil"/>
            </w:tcBorders>
            <w:shd w:val="clear"/>
            <w:noWrap/>
            <w:vAlign w:val="center"/>
          </w:tcPr>
          <w:p w14:paraId="681160D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-9.795</w:t>
            </w:r>
          </w:p>
        </w:tc>
        <w:tc>
          <w:tcPr>
            <w:tcW w:w="0" w:type="auto"/>
            <w:tcBorders>
              <w:top w:val="nil"/>
              <w:left w:val="nil"/>
              <w:bottom w:val="nil"/>
              <w:right w:val="nil"/>
            </w:tcBorders>
            <w:shd w:val="clear"/>
            <w:noWrap/>
            <w:vAlign w:val="center"/>
          </w:tcPr>
          <w:p w14:paraId="79591C7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-9.84</w:t>
            </w:r>
          </w:p>
        </w:tc>
        <w:tc>
          <w:tcPr>
            <w:tcW w:w="0" w:type="auto"/>
            <w:tcBorders>
              <w:top w:val="nil"/>
              <w:left w:val="nil"/>
              <w:bottom w:val="nil"/>
              <w:right w:val="nil"/>
            </w:tcBorders>
            <w:shd w:val="clear"/>
            <w:noWrap/>
            <w:vAlign w:val="center"/>
          </w:tcPr>
          <w:p w14:paraId="77E4CDC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-9.9</w:t>
            </w:r>
          </w:p>
        </w:tc>
        <w:tc>
          <w:tcPr>
            <w:tcW w:w="0" w:type="auto"/>
            <w:tcBorders>
              <w:top w:val="nil"/>
              <w:left w:val="nil"/>
              <w:bottom w:val="nil"/>
              <w:right w:val="nil"/>
            </w:tcBorders>
            <w:shd w:val="clear"/>
            <w:noWrap/>
            <w:vAlign w:val="center"/>
          </w:tcPr>
          <w:p w14:paraId="241FB0E1">
            <w:pPr>
              <w:rPr>
                <w:rFonts w:hint="eastAsia" w:ascii="宋体" w:hAnsi="宋体" w:eastAsia="宋体" w:cs="宋体"/>
                <w:i w:val="0"/>
                <w:iCs w:val="0"/>
                <w:color w:val="000000"/>
                <w:sz w:val="22"/>
                <w:szCs w:val="22"/>
                <w:u w:val="none"/>
              </w:rPr>
            </w:pPr>
          </w:p>
        </w:tc>
      </w:tr>
      <w:tr w14:paraId="528DA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27" w:hRule="atLeast"/>
        </w:trPr>
        <w:tc>
          <w:tcPr>
            <w:tcW w:w="0" w:type="auto"/>
            <w:tcBorders>
              <w:top w:val="nil"/>
              <w:left w:val="nil"/>
              <w:bottom w:val="nil"/>
              <w:right w:val="nil"/>
            </w:tcBorders>
            <w:shd w:val="clear"/>
            <w:noWrap/>
            <w:vAlign w:val="center"/>
          </w:tcPr>
          <w:p w14:paraId="2C6BD6B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Id/mA</w:t>
            </w:r>
          </w:p>
        </w:tc>
        <w:tc>
          <w:tcPr>
            <w:tcW w:w="0" w:type="auto"/>
            <w:tcBorders>
              <w:top w:val="nil"/>
              <w:left w:val="nil"/>
              <w:bottom w:val="nil"/>
              <w:right w:val="nil"/>
            </w:tcBorders>
            <w:shd w:val="clear"/>
            <w:noWrap/>
            <w:vAlign w:val="center"/>
          </w:tcPr>
          <w:p w14:paraId="2E7AF7F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77FB93F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206D877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center"/>
          </w:tcPr>
          <w:p w14:paraId="3A31F5F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center"/>
          </w:tcPr>
          <w:p w14:paraId="4FE03D0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center"/>
          </w:tcPr>
          <w:p w14:paraId="774D97D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center"/>
          </w:tcPr>
          <w:p w14:paraId="100903D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center"/>
          </w:tcPr>
          <w:p w14:paraId="593333C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center"/>
          </w:tcPr>
          <w:p w14:paraId="17D9504D">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-10</w:t>
            </w:r>
          </w:p>
        </w:tc>
        <w:tc>
          <w:tcPr>
            <w:tcW w:w="0" w:type="auto"/>
            <w:tcBorders>
              <w:top w:val="nil"/>
              <w:left w:val="nil"/>
              <w:bottom w:val="nil"/>
              <w:right w:val="nil"/>
            </w:tcBorders>
            <w:shd w:val="clear"/>
            <w:noWrap/>
            <w:vAlign w:val="center"/>
          </w:tcPr>
          <w:p w14:paraId="01D963FA">
            <w:pPr>
              <w:rPr>
                <w:rFonts w:hint="eastAsia" w:ascii="宋体" w:hAnsi="宋体" w:eastAsia="宋体" w:cs="宋体"/>
                <w:i w:val="0"/>
                <w:iCs w:val="0"/>
                <w:color w:val="000000"/>
                <w:sz w:val="22"/>
                <w:szCs w:val="22"/>
                <w:u w:val="none"/>
              </w:rPr>
            </w:pPr>
          </w:p>
        </w:tc>
      </w:tr>
    </w:tbl>
    <w:p w14:paraId="1E113571">
      <w:pPr>
        <w:pStyle w:val="6"/>
        <w:numPr>
          <w:ilvl w:val="0"/>
          <w:numId w:val="0"/>
        </w:numPr>
        <w:ind w:left="720" w:leftChars="0" w:hanging="720" w:firstLineChars="0"/>
        <w:jc w:val="center"/>
        <w:rPr>
          <w:rFonts w:hint="default" w:asciiTheme="minorHAnsi" w:hAnsiTheme="minorHAnsi" w:eastAsiaTheme="minorEastAsia" w:cstheme="minorBidi"/>
          <w:kern w:val="2"/>
          <w:sz w:val="18"/>
          <w:szCs w:val="18"/>
          <w:lang w:val="en-US" w:eastAsia="zh-CN" w:bidi="ar-SA"/>
        </w:rPr>
      </w:pPr>
      <w:r>
        <w:rPr>
          <w:rFonts w:hint="eastAsia" w:cstheme="minorBidi"/>
          <w:kern w:val="2"/>
          <w:sz w:val="18"/>
          <w:szCs w:val="18"/>
          <w:lang w:val="en-US" w:eastAsia="zh-CN" w:bidi="ar-SA"/>
        </w:rPr>
        <w:t>表1 发光二极管、稳压管的伏安特性</w:t>
      </w:r>
    </w:p>
    <w:p w14:paraId="6BB35209">
      <w:pPr>
        <w:pStyle w:val="6"/>
        <w:numPr>
          <w:ilvl w:val="0"/>
          <w:numId w:val="1"/>
        </w:numPr>
        <w:ind w:left="720" w:leftChars="0" w:hanging="720" w:firstLineChars="0"/>
        <w:jc w:val="left"/>
        <w:rPr>
          <w:rFonts w:hint="eastAsia"/>
          <w:sz w:val="28"/>
          <w:szCs w:val="28"/>
        </w:rPr>
      </w:pPr>
      <w:r>
        <w:rPr>
          <w:rFonts w:hint="eastAsia"/>
          <w:sz w:val="28"/>
          <w:szCs w:val="28"/>
        </w:rPr>
        <w:t>结果分析</w:t>
      </w:r>
    </w:p>
    <w:p w14:paraId="30C5A2E7">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1.数据特性总结与理论对照​</w:t>
      </w:r>
    </w:p>
    <w:p w14:paraId="7F67F757">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通过对表1中发光二极管与稳压二极管正反向伏安特性数据的分析，可以清晰地观察到非线性电阻的特性。发光二极管的正向特性表现为：当正向电压低于约1.5V时，电流极小；电压超过此阈值后，电流随电压呈指数级增长，同时二极管发光，这与半导体PN结的正向导通特性完全吻合。其反向特性则表现为极高的电阻，电流微乎其微。稳压二极管的正向特性与普通二极管类似，而其反向特性尤为关键：当反向电压增至约10V（即其标称稳压值）时，电压趋于稳定，电流则显著增大，完美体现了其稳压功能。</w:t>
      </w:r>
    </w:p>
    <w:p w14:paraId="6E282E1D">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这些实测特性与实验原理中描述的“半导体二极管正向电流随电压剧增、反向电流极小”以及“稳压二极管反向电压达稳压值后，电流剧增而电压基本不变”的理论完全一致。</w:t>
      </w:r>
    </w:p>
    <w:p w14:paraId="6BE2EA18">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2.测量方法与电路影响分析​</w:t>
      </w:r>
    </w:p>
    <w:p w14:paraId="7D5886DC">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本次实验采用了图3.2所示的两种电路接法进行测量。在测量发光二极管正向特性等电压较高、电阻较小的场景下，采用电流表内接法可以有效减小由于电压表分流引起的测量误差。反之，在测量稳压二极管反向特性等电流较小的场景下，则需考虑电压表内阻的影响。本实验通过合理选择电路，有效降低了万用表等效内阻对测量结果的影响，确保了数据的准确性。</w:t>
      </w:r>
    </w:p>
    <w:p w14:paraId="260918AD">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3.误差来源探讨​</w:t>
      </w:r>
    </w:p>
    <w:p w14:paraId="013389BA">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尽管实测数据与理论曲线趋势一致，但仍存在细微偏差。其主要误差来源可能包括：① 仪器本身的基本误差，如直流稳压电源的输出精度和万用表的读数精度；② 在特性曲线的陡峭区间（如二极管开启电压附近），数据点选取密度不足，导致绘制的曲线不够平滑；③ 元件参数的离散性，实际元件的参数与理想值存在正常偏差；④ 实验环境因素，如连续测量导致的元件温升，可能对特性产生微小影响。</w:t>
      </w:r>
    </w:p>
    <w:p w14:paraId="2529F55B">
      <w:pPr>
        <w:pStyle w:val="6"/>
        <w:numPr>
          <w:numId w:val="0"/>
        </w:numPr>
        <w:ind w:leftChars="0" w:firstLine="480" w:firstLineChars="200"/>
        <w:jc w:val="left"/>
        <w:rPr>
          <w:rFonts w:hint="eastAsia" w:ascii="宋体" w:hAnsi="宋体" w:eastAsia="宋体" w:cs="宋体"/>
          <w:sz w:val="21"/>
          <w:szCs w:val="21"/>
        </w:rPr>
      </w:pPr>
      <w:bookmarkStart w:id="0" w:name="_GoBack"/>
      <w:bookmarkEnd w:id="0"/>
      <w:r>
        <w:rPr>
          <w:rFonts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-429260</wp:posOffset>
            </wp:positionH>
            <wp:positionV relativeFrom="paragraph">
              <wp:posOffset>-7056120</wp:posOffset>
            </wp:positionV>
            <wp:extent cx="6499860" cy="4595495"/>
            <wp:effectExtent l="0" t="0" r="2540" b="1905"/>
            <wp:wrapSquare wrapText="bothSides"/>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9"/>
                    <a:srcRect/>
                    <a:stretch>
                      <a:fillRect/>
                    </a:stretch>
                  </pic:blipFill>
                  <pic:spPr>
                    <a:xfrm>
                      <a:off x="0" y="0"/>
                      <a:ext cx="6499860" cy="4595495"/>
                    </a:xfrm>
                    <a:prstGeom prst="rect">
                      <a:avLst/>
                    </a:prstGeom>
                    <a:noFill/>
                    <a:ln w="9525">
                      <a:noFill/>
                    </a:ln>
                  </pic:spPr>
                </pic:pic>
              </a:graphicData>
            </a:graphic>
          </wp:anchor>
        </w:drawing>
      </w:r>
    </w:p>
    <w:p w14:paraId="54CA6BCB">
      <w:pPr>
        <w:pStyle w:val="6"/>
        <w:numPr>
          <w:ilvl w:val="0"/>
          <w:numId w:val="1"/>
        </w:numPr>
        <w:ind w:left="720" w:leftChars="0" w:hanging="720" w:firstLineChars="0"/>
        <w:jc w:val="left"/>
        <w:rPr>
          <w:rFonts w:hint="eastAsia"/>
          <w:sz w:val="28"/>
          <w:szCs w:val="28"/>
        </w:rPr>
      </w:pPr>
      <w:r>
        <w:rPr>
          <w:rFonts w:hint="eastAsia"/>
          <w:sz w:val="28"/>
          <w:szCs w:val="28"/>
        </w:rPr>
        <w:t>实验小结</w:t>
      </w:r>
    </w:p>
    <w:p w14:paraId="365A0AF2">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1.实验目的达成与现象验证​</w:t>
      </w:r>
    </w:p>
    <w:p w14:paraId="3810D401">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本实验成功达到了预设目的。通过亲手搭建图3.4和图3.5所示的测量电路，并操作稳压电源与万用表，直观地观察到了发光二极管的发光阈值现象以及稳压二极管反向击穿后的稳压现象，深刻加深了对线性与非线性电阻伏安特性的理解，特别是掌握了二极管类元件的单向导电性和稳压特性。</w:t>
      </w:r>
    </w:p>
    <w:p w14:paraId="21DC301F">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2.技能收获与问题处理​</w:t>
      </w:r>
    </w:p>
    <w:p w14:paraId="428C8CA8">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在实验过程中，熟练掌握了限流电阻的保护作用，在测量发光二极管正向特性时，通过缓慢调节电压并时刻监控电流，成功避免了因电流过大而损坏元件。同时，也巩固了根据待测电阻大小选择合适电表接法以减小系统误差的分析能力。</w:t>
      </w:r>
    </w:p>
    <w:p w14:paraId="5255AB26">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3.反思与改进建议​</w:t>
      </w:r>
    </w:p>
    <w:p w14:paraId="6E22F325">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本次实验的教训在于，在伏安特性曲线的非线性突变区域，应加密测量点，以获得更精确的曲线形态。此外，为进一步提升实验的深度和精确度，提出以下改进意见：① 可引入数据采集系统，实现电压、电流的自动扫描与记录，减少人为读数误差，提高效率；② 可拓展研究温度变化对二极管正向压降及稳压值的影响，从而更全面地理解元件特性。</w:t>
      </w:r>
    </w:p>
    <w:p w14:paraId="6A710055">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4.总体收获​</w:t>
      </w:r>
    </w:p>
    <w:p w14:paraId="66A500AB">
      <w:pPr>
        <w:pStyle w:val="6"/>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综上所述，本实验不仅巩固了电路理论知识，更极大地提升了实践动手能力和数据分析能力，为后续的电子电路学习和实验奠定了坚实的基础。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2312">
    <w:panose1 w:val="02000000000000000000"/>
    <w:charset w:val="86"/>
    <w:family w:val="auto"/>
    <w:pitch w:val="default"/>
    <w:sig w:usb0="A00002BF" w:usb1="184F6CFA" w:usb2="00000012" w:usb3="00000000" w:csb0="00040001" w:csb1="00000000"/>
  </w:font>
  <w:font w:name="幼圆">
    <w:panose1 w:val="02010509060101010101"/>
    <w:charset w:val="86"/>
    <w:family w:val="auto"/>
    <w:pitch w:val="default"/>
    <w:sig w:usb0="00000001" w:usb1="080E0000" w:usb2="00000000" w:usb3="00000000" w:csb0="00040000" w:csb1="00000000"/>
  </w:font>
  <w:font w:name="汉仪夏日体W">
    <w:panose1 w:val="00020600040101010101"/>
    <w:charset w:val="86"/>
    <w:family w:val="auto"/>
    <w:pitch w:val="default"/>
    <w:sig w:usb0="A00002BF" w:usb1="18EF7CFA" w:usb2="00000016" w:usb3="00000000" w:csb0="0004009F" w:csb1="DFD70000"/>
  </w:font>
  <w:font w:name="华文中宋">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隶书">
    <w:panose1 w:val="02010800040101010101"/>
    <w:charset w:val="86"/>
    <w:family w:val="auto"/>
    <w:pitch w:val="default"/>
    <w:sig w:usb0="00000001" w:usb1="080F0000" w:usb2="00000000" w:usb3="00000000" w:csb0="0004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8CAEDD"/>
    <w:multiLevelType w:val="singleLevel"/>
    <w:tmpl w:val="D88CAEDD"/>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197B48"/>
    <w:rsid w:val="001B4AD7"/>
    <w:rsid w:val="00395687"/>
    <w:rsid w:val="003B76E6"/>
    <w:rsid w:val="00490C91"/>
    <w:rsid w:val="00507A23"/>
    <w:rsid w:val="0057059A"/>
    <w:rsid w:val="005D2A3D"/>
    <w:rsid w:val="00620FCF"/>
    <w:rsid w:val="00740B8D"/>
    <w:rsid w:val="007D358C"/>
    <w:rsid w:val="00832909"/>
    <w:rsid w:val="008E6863"/>
    <w:rsid w:val="009A7D38"/>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19AB482C"/>
    <w:rsid w:val="429F5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2237</Words>
  <Characters>2449</Characters>
  <Lines>4</Lines>
  <Paragraphs>1</Paragraphs>
  <TotalTime>25</TotalTime>
  <ScaleCrop>false</ScaleCrop>
  <LinksUpToDate>false</LinksUpToDate>
  <CharactersWithSpaces>2654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李宝宣</cp:lastModifiedBy>
  <dcterms:modified xsi:type="dcterms:W3CDTF">2025-10-19T12:55:50Z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eyJoZGlkIjoiODQyZTIyODM4YTg2NDIxMjJiZWZkMjBmNGI1MmMzM2QiLCJ1c2VySWQiOiIxNjI3MzEzNTgxIn0=</vt:lpwstr>
  </property>
  <property fmtid="{D5CDD505-2E9C-101B-9397-08002B2CF9AE}" pid="3" name="KSOProductBuildVer">
    <vt:lpwstr>2052-12.1.0.20784</vt:lpwstr>
  </property>
  <property fmtid="{D5CDD505-2E9C-101B-9397-08002B2CF9AE}" pid="4" name="ICV">
    <vt:lpwstr>1A22524F84C24841AE51B7B0EBD9688B_13</vt:lpwstr>
  </property>
</Properties>
</file>