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797C0" w14:textId="77777777" w:rsidR="00031B4E" w:rsidRDefault="00031B4E" w:rsidP="00031B4E">
      <w:pPr>
        <w:spacing w:afterLines="50" w:after="167"/>
        <w:rPr>
          <w:rFonts w:hint="eastAsia"/>
        </w:rPr>
      </w:pPr>
      <w:r>
        <w:rPr>
          <w:rFonts w:hint="eastAsia"/>
        </w:rPr>
        <w:t xml:space="preserve">　　　　　　　　　　　　　　　　　　　　　　　　　　　　　議案編號：</w:t>
      </w:r>
      <w:r>
        <w:rPr>
          <w:rFonts w:hint="eastAsia"/>
        </w:rPr>
        <w:t>202110048420000</w:t>
      </w:r>
    </w:p>
    <w:p w14:paraId="018576EC" w14:textId="77777777" w:rsidR="00031B4E" w:rsidRDefault="00031B4E" w:rsidP="00031B4E">
      <w:pPr>
        <w:snapToGrid w:val="0"/>
        <w:ind w:leftChars="400" w:left="844"/>
        <w:rPr>
          <w:rFonts w:ascii="細明體" w:hAnsi="細明體" w:hint="eastAsia"/>
        </w:rPr>
      </w:pPr>
      <w:r w:rsidRPr="00031B4E">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\o\ad(\s\up5(（中華民國41年9月起編號）),\s\do5(中華民國113年5月22日印發))</w:instrText>
      </w:r>
      <w:r>
        <w:rPr>
          <w:rFonts w:ascii="細明體" w:hAnsi="細明體"/>
        </w:rPr>
        <w:fldChar w:fldCharType="end"/>
      </w:r>
    </w:p>
    <w:p w14:paraId="782FEADC" w14:textId="77777777" w:rsidR="00031B4E" w:rsidRDefault="00031B4E" w:rsidP="00031B4E">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F9533A" w14:paraId="0BC820AF" w14:textId="77777777" w:rsidTr="00F9533A">
        <w:tc>
          <w:tcPr>
            <w:tcW w:w="0" w:type="auto"/>
            <w:vAlign w:val="center"/>
          </w:tcPr>
          <w:p w14:paraId="615203CA" w14:textId="77777777" w:rsidR="00031B4E" w:rsidRDefault="00031B4E" w:rsidP="00F9533A">
            <w:pPr>
              <w:pStyle w:val="affff"/>
              <w:rPr>
                <w:rFonts w:hint="eastAsia"/>
              </w:rPr>
            </w:pPr>
            <w:r>
              <w:rPr>
                <w:rFonts w:hint="eastAsia"/>
              </w:rPr>
              <w:t>院總第</w:t>
            </w:r>
            <w:r>
              <w:rPr>
                <w:rFonts w:hint="eastAsia"/>
              </w:rPr>
              <w:t>20</w:t>
            </w:r>
            <w:r>
              <w:rPr>
                <w:rFonts w:hint="eastAsia"/>
              </w:rPr>
              <w:t>號</w:t>
            </w:r>
          </w:p>
        </w:tc>
        <w:tc>
          <w:tcPr>
            <w:tcW w:w="0" w:type="auto"/>
            <w:vAlign w:val="center"/>
          </w:tcPr>
          <w:p w14:paraId="22684A28" w14:textId="77777777" w:rsidR="00031B4E" w:rsidRDefault="00031B4E" w:rsidP="00F9533A">
            <w:pPr>
              <w:pStyle w:val="affff5"/>
              <w:ind w:leftChars="200" w:left="422"/>
              <w:rPr>
                <w:rFonts w:hint="eastAsia"/>
              </w:rPr>
            </w:pPr>
            <w:r>
              <w:rPr>
                <w:rFonts w:hint="eastAsia"/>
              </w:rPr>
              <w:t>委員</w:t>
            </w:r>
          </w:p>
        </w:tc>
        <w:tc>
          <w:tcPr>
            <w:tcW w:w="0" w:type="auto"/>
            <w:vAlign w:val="center"/>
          </w:tcPr>
          <w:p w14:paraId="15F197FB" w14:textId="77777777" w:rsidR="00031B4E" w:rsidRDefault="00031B4E" w:rsidP="00F9533A">
            <w:pPr>
              <w:pStyle w:val="affff5"/>
              <w:rPr>
                <w:rFonts w:hint="eastAsia"/>
              </w:rPr>
            </w:pPr>
            <w:r>
              <w:rPr>
                <w:rFonts w:hint="eastAsia"/>
              </w:rPr>
              <w:t>提案第</w:t>
            </w:r>
          </w:p>
        </w:tc>
        <w:tc>
          <w:tcPr>
            <w:tcW w:w="0" w:type="auto"/>
            <w:tcMar>
              <w:left w:w="113" w:type="dxa"/>
              <w:right w:w="113" w:type="dxa"/>
            </w:tcMar>
            <w:vAlign w:val="center"/>
          </w:tcPr>
          <w:p w14:paraId="70603B8B" w14:textId="77777777" w:rsidR="00031B4E" w:rsidRDefault="00031B4E" w:rsidP="00F9533A">
            <w:pPr>
              <w:pStyle w:val="affff5"/>
              <w:jc w:val="distribute"/>
              <w:rPr>
                <w:rFonts w:hint="eastAsia"/>
              </w:rPr>
            </w:pPr>
            <w:r>
              <w:t>11004842</w:t>
            </w:r>
          </w:p>
        </w:tc>
        <w:tc>
          <w:tcPr>
            <w:tcW w:w="0" w:type="auto"/>
            <w:vAlign w:val="center"/>
          </w:tcPr>
          <w:p w14:paraId="36D928A6" w14:textId="77777777" w:rsidR="00031B4E" w:rsidRDefault="00031B4E" w:rsidP="00F9533A">
            <w:pPr>
              <w:pStyle w:val="affff5"/>
              <w:rPr>
                <w:rFonts w:hint="eastAsia"/>
              </w:rPr>
            </w:pPr>
            <w:r>
              <w:rPr>
                <w:rFonts w:hint="eastAsia"/>
              </w:rPr>
              <w:t>號</w:t>
            </w:r>
          </w:p>
        </w:tc>
        <w:tc>
          <w:tcPr>
            <w:tcW w:w="0" w:type="auto"/>
            <w:vAlign w:val="center"/>
          </w:tcPr>
          <w:p w14:paraId="43F94A89" w14:textId="77777777" w:rsidR="00031B4E" w:rsidRDefault="00031B4E" w:rsidP="00F9533A">
            <w:pPr>
              <w:pStyle w:val="affff5"/>
              <w:rPr>
                <w:rFonts w:hint="eastAsia"/>
              </w:rPr>
            </w:pPr>
          </w:p>
        </w:tc>
        <w:tc>
          <w:tcPr>
            <w:tcW w:w="0" w:type="auto"/>
            <w:tcMar>
              <w:left w:w="113" w:type="dxa"/>
            </w:tcMar>
            <w:vAlign w:val="center"/>
          </w:tcPr>
          <w:p w14:paraId="4DAD48A1" w14:textId="77777777" w:rsidR="00031B4E" w:rsidRDefault="00031B4E" w:rsidP="00F9533A">
            <w:pPr>
              <w:pStyle w:val="affff5"/>
              <w:rPr>
                <w:rFonts w:hint="eastAsia"/>
              </w:rPr>
            </w:pPr>
          </w:p>
        </w:tc>
      </w:tr>
    </w:tbl>
    <w:p w14:paraId="179A8509" w14:textId="77777777" w:rsidR="00031B4E" w:rsidRDefault="00031B4E" w:rsidP="00031B4E">
      <w:pPr>
        <w:pStyle w:val="afb"/>
        <w:spacing w:line="600" w:lineRule="exact"/>
        <w:ind w:left="1382" w:hanging="855"/>
        <w:rPr>
          <w:rFonts w:hint="eastAsia"/>
        </w:rPr>
      </w:pPr>
    </w:p>
    <w:p w14:paraId="1DEE6B3C" w14:textId="77777777" w:rsidR="00031B4E" w:rsidRDefault="00031B4E" w:rsidP="00031B4E">
      <w:pPr>
        <w:pStyle w:val="afb"/>
        <w:ind w:left="1382" w:hanging="855"/>
        <w:rPr>
          <w:rFonts w:hint="eastAsia"/>
        </w:rPr>
      </w:pPr>
      <w:r>
        <w:rPr>
          <w:rFonts w:hint="eastAsia"/>
        </w:rPr>
        <w:t>案由：本院委員王鴻薇、林沛祥等</w:t>
      </w:r>
      <w:r>
        <w:rPr>
          <w:rFonts w:hint="eastAsia"/>
        </w:rPr>
        <w:t>1</w:t>
      </w:r>
      <w:r w:rsidR="00ED5612">
        <w:rPr>
          <w:rFonts w:hint="eastAsia"/>
        </w:rPr>
        <w:t>9</w:t>
      </w:r>
      <w:r>
        <w:rPr>
          <w:rFonts w:hint="eastAsia"/>
        </w:rPr>
        <w:t>人，為確保公司及其股東權益，貫</w:t>
      </w:r>
      <w:r w:rsidRPr="00D31B25">
        <w:rPr>
          <w:rFonts w:hint="eastAsia"/>
          <w:spacing w:val="8"/>
        </w:rPr>
        <w:t>徹董事及監察人失格規定之公益目的，爰</w:t>
      </w:r>
      <w:r w:rsidR="00D31B25" w:rsidRPr="00D31B25">
        <w:rPr>
          <w:rFonts w:hint="eastAsia"/>
          <w:spacing w:val="8"/>
        </w:rPr>
        <w:t>擬具</w:t>
      </w:r>
      <w:r w:rsidRPr="00D31B25">
        <w:rPr>
          <w:rFonts w:hint="eastAsia"/>
          <w:spacing w:val="8"/>
        </w:rPr>
        <w:t>「證券投資人及期貨交易人保護法第十條之一條文修正草案」。是</w:t>
      </w:r>
      <w:r>
        <w:rPr>
          <w:rFonts w:hint="eastAsia"/>
        </w:rPr>
        <w:t>否有當？敬請公決。</w:t>
      </w:r>
    </w:p>
    <w:p w14:paraId="5E94A2C7" w14:textId="77777777" w:rsidR="00031B4E" w:rsidRPr="00031B4E" w:rsidRDefault="00031B4E" w:rsidP="00031B4E">
      <w:pPr>
        <w:pStyle w:val="afb"/>
        <w:ind w:left="1382" w:hanging="855"/>
        <w:rPr>
          <w:rFonts w:hint="eastAsia"/>
        </w:rPr>
      </w:pPr>
    </w:p>
    <w:p w14:paraId="07359F29" w14:textId="77777777" w:rsidR="00031B4E" w:rsidRDefault="00031B4E" w:rsidP="00031B4E">
      <w:pPr>
        <w:pStyle w:val="a4"/>
        <w:ind w:left="633" w:hanging="633"/>
        <w:rPr>
          <w:rFonts w:hint="eastAsia"/>
        </w:rPr>
      </w:pPr>
      <w:r>
        <w:rPr>
          <w:rFonts w:hint="eastAsia"/>
        </w:rPr>
        <w:t>說明：</w:t>
      </w:r>
    </w:p>
    <w:p w14:paraId="2F27ACD4" w14:textId="77777777" w:rsidR="00031B4E" w:rsidRDefault="00031B4E" w:rsidP="00031B4E">
      <w:pPr>
        <w:pStyle w:val="afffff0"/>
        <w:ind w:left="633" w:hanging="422"/>
        <w:rPr>
          <w:rFonts w:hint="eastAsia"/>
        </w:rPr>
      </w:pPr>
      <w:r>
        <w:rPr>
          <w:rFonts w:hint="eastAsia"/>
        </w:rPr>
        <w:t>一、現行「證券投資人及期貨交易人保護法」第十條之一第一項第一款明定保護機構得以書面請求公司之監察人為公司對董事提起訴訟，或請求公司之董事會為公司對監察人提起訴訟，或請求公司對已卸任之董事或監察人提起訴訟。惟同法第十條之一第一項第二款雖規定訴請法院裁判解任公司之董事或監察人，不受公司法第二百條及第二百二十七條準用第二百條之限制，且解任事由不以起訴時任期內發生者為限，但並未提及已卸任之董事或監察人，引發法界諸多爭議。</w:t>
      </w:r>
    </w:p>
    <w:p w14:paraId="201E1F0E" w14:textId="77777777" w:rsidR="00031B4E" w:rsidRDefault="00031B4E" w:rsidP="00031B4E">
      <w:pPr>
        <w:pStyle w:val="afffff0"/>
        <w:ind w:left="633" w:hanging="422"/>
        <w:rPr>
          <w:rFonts w:hint="eastAsia"/>
        </w:rPr>
      </w:pPr>
      <w:r>
        <w:rPr>
          <w:rFonts w:hint="eastAsia"/>
        </w:rPr>
        <w:t>二、為</w:t>
      </w:r>
      <w:r w:rsidRPr="00D31B25">
        <w:rPr>
          <w:rFonts w:hint="eastAsia"/>
          <w:spacing w:val="2"/>
        </w:rPr>
        <w:t>確保公司及其股東權益，貫徹「證券投資人及期貨交易人保護法」第十條之一第一項第</w:t>
      </w:r>
      <w:r>
        <w:rPr>
          <w:rFonts w:hint="eastAsia"/>
        </w:rPr>
        <w:t>一款董事及監察人失格規定之公益目的，爰提案修正「證券投資人及期貨交易人保護法」第十條之一第一項第二款、第十條之一第七項。</w:t>
      </w:r>
    </w:p>
    <w:p w14:paraId="3E9A0DFD" w14:textId="77777777" w:rsidR="00031B4E" w:rsidRDefault="00031B4E" w:rsidP="00031B4E"/>
    <w:p w14:paraId="37177BB3" w14:textId="77777777" w:rsidR="00031B4E" w:rsidRDefault="00031B4E" w:rsidP="00031B4E">
      <w:pPr>
        <w:pStyle w:val="-"/>
        <w:ind w:left="3165" w:right="633" w:hanging="844"/>
        <w:rPr>
          <w:rFonts w:hint="eastAsia"/>
        </w:rPr>
      </w:pPr>
      <w:r>
        <w:rPr>
          <w:rFonts w:hint="eastAsia"/>
        </w:rPr>
        <w:t xml:space="preserve">提案人：王鴻薇　　林沛祥　　</w:t>
      </w:r>
    </w:p>
    <w:p w14:paraId="1AF1653C" w14:textId="77777777" w:rsidR="00031B4E" w:rsidRDefault="00031B4E" w:rsidP="00031B4E">
      <w:pPr>
        <w:pStyle w:val="-"/>
        <w:ind w:left="3165" w:right="633" w:hanging="844"/>
        <w:rPr>
          <w:rFonts w:hint="eastAsia"/>
        </w:rPr>
      </w:pPr>
      <w:r>
        <w:rPr>
          <w:rFonts w:hint="eastAsia"/>
        </w:rPr>
        <w:t>連署人：許宇甄　　丁學忠　　黃建賓　　馬文君　　林思銘　　鄭天財</w:t>
      </w:r>
      <w:r>
        <w:rPr>
          <w:rFonts w:hint="eastAsia"/>
        </w:rPr>
        <w:t>Sra Kacaw</w:t>
      </w:r>
      <w:r>
        <w:rPr>
          <w:rFonts w:hint="eastAsia"/>
        </w:rPr>
        <w:t xml:space="preserve">　　</w:t>
      </w:r>
      <w:r>
        <w:rPr>
          <w:rFonts w:hint="eastAsia"/>
          <w:sz w:val="8"/>
        </w:rPr>
        <w:t xml:space="preserve">　</w:t>
      </w:r>
      <w:r>
        <w:rPr>
          <w:rFonts w:hint="eastAsia"/>
        </w:rPr>
        <w:t xml:space="preserve">翁曉玲　　盧縣一　　羅廷瑋　　楊瓊瓔　　邱鎮軍　　謝龍介　　游　顥　　陳雪生　　</w:t>
      </w:r>
      <w:r w:rsidR="00ED5612" w:rsidRPr="00ED5612">
        <w:rPr>
          <w:rFonts w:hint="eastAsia"/>
        </w:rPr>
        <w:t>牛煦庭</w:t>
      </w:r>
      <w:r w:rsidR="00ED5612">
        <w:rPr>
          <w:rFonts w:hint="eastAsia"/>
        </w:rPr>
        <w:t xml:space="preserve">　　</w:t>
      </w:r>
      <w:r w:rsidR="00ED5612" w:rsidRPr="00ED5612">
        <w:rPr>
          <w:rFonts w:hint="eastAsia"/>
        </w:rPr>
        <w:t>傅崐萁</w:t>
      </w:r>
      <w:r w:rsidR="00ED5612">
        <w:rPr>
          <w:rFonts w:hint="eastAsia"/>
        </w:rPr>
        <w:t xml:space="preserve">　　</w:t>
      </w:r>
      <w:r w:rsidR="00ED5612" w:rsidRPr="00ED5612">
        <w:rPr>
          <w:rFonts w:hint="eastAsia"/>
        </w:rPr>
        <w:t>羅智強</w:t>
      </w:r>
      <w:r w:rsidR="00ED5612">
        <w:rPr>
          <w:rFonts w:hint="eastAsia"/>
        </w:rPr>
        <w:t xml:space="preserve">　　　　</w:t>
      </w:r>
    </w:p>
    <w:p w14:paraId="39C57528" w14:textId="77777777" w:rsidR="00031B4E" w:rsidRDefault="00031B4E" w:rsidP="00031B4E">
      <w:pPr>
        <w:pStyle w:val="affffe"/>
        <w:ind w:firstLine="422"/>
        <w:sectPr w:rsidR="00031B4E" w:rsidSect="00AD36E3">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47"/>
          <w:cols w:space="720"/>
          <w:docGrid w:type="linesAndChars" w:linePitch="335" w:charSpace="200"/>
        </w:sectPr>
      </w:pPr>
    </w:p>
    <w:p w14:paraId="672C4882" w14:textId="77777777" w:rsidR="00031B4E" w:rsidRDefault="00031B4E" w:rsidP="00C553AD">
      <w:pPr>
        <w:spacing w:line="14" w:lineRule="exact"/>
        <w:sectPr w:rsidR="00031B4E" w:rsidSect="00031B4E">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031B4E" w14:paraId="329FCA11" w14:textId="77777777" w:rsidTr="00F9533A">
        <w:tc>
          <w:tcPr>
            <w:tcW w:w="9128" w:type="dxa"/>
            <w:gridSpan w:val="3"/>
            <w:tcBorders>
              <w:top w:val="nil"/>
              <w:left w:val="nil"/>
              <w:bottom w:val="nil"/>
              <w:right w:val="nil"/>
            </w:tcBorders>
          </w:tcPr>
          <w:p w14:paraId="28E6A049" w14:textId="77777777" w:rsidR="00031B4E" w:rsidRPr="00F9533A" w:rsidRDefault="00031B4E" w:rsidP="00F9533A">
            <w:pPr>
              <w:spacing w:before="105" w:after="105" w:line="480" w:lineRule="exact"/>
              <w:ind w:leftChars="500" w:left="1055"/>
              <w:rPr>
                <w:rFonts w:ascii="標楷體" w:eastAsia="標楷體" w:hAnsi="標楷體" w:hint="eastAsia"/>
                <w:sz w:val="28"/>
              </w:rPr>
            </w:pPr>
            <w:r w:rsidRPr="00F9533A">
              <w:rPr>
                <w:rFonts w:ascii="標楷體" w:eastAsia="標楷體" w:hAnsi="標楷體"/>
                <w:sz w:val="28"/>
              </w:rPr>
              <w:br w:type="page"/>
              <w:t>證券投資人及期貨交易人保護法第十條之一條文修正草案對照表</w:t>
            </w:r>
            <w:bookmarkStart w:id="0" w:name="TA8803369"/>
            <w:bookmarkEnd w:id="0"/>
          </w:p>
        </w:tc>
      </w:tr>
      <w:tr w:rsidR="00031B4E" w14:paraId="3CE30FC5" w14:textId="77777777" w:rsidTr="00F9533A">
        <w:tc>
          <w:tcPr>
            <w:tcW w:w="3042" w:type="dxa"/>
            <w:tcBorders>
              <w:top w:val="nil"/>
            </w:tcBorders>
          </w:tcPr>
          <w:p w14:paraId="3717B4D6" w14:textId="77777777" w:rsidR="00031B4E" w:rsidRDefault="00D31B25" w:rsidP="00F9533A">
            <w:pPr>
              <w:pStyle w:val="aff8"/>
              <w:ind w:left="105" w:right="105"/>
              <w:rPr>
                <w:rFonts w:hint="eastAsia"/>
              </w:rPr>
            </w:pPr>
            <w:r>
              <w:rPr>
                <w:rFonts w:hint="eastAsia"/>
              </w:rPr>
              <w:pict w14:anchorId="66964C5B">
                <v:line id="DW24181" o:spid="_x0000_s1029" style="position:absolute;left:0;text-align:left;z-index:251658240;mso-position-horizontal-relative:text;mso-position-vertical-relative:text" from="-2pt,-.7pt" to="455.8pt,-.7pt" strokeweight="1.5pt"/>
              </w:pict>
            </w:r>
            <w:r w:rsidR="00031B4E">
              <w:rPr>
                <w:rFonts w:hint="eastAsia"/>
              </w:rPr>
              <w:t>修正條文</w:t>
            </w:r>
          </w:p>
        </w:tc>
        <w:tc>
          <w:tcPr>
            <w:tcW w:w="3043" w:type="dxa"/>
            <w:tcBorders>
              <w:top w:val="nil"/>
            </w:tcBorders>
          </w:tcPr>
          <w:p w14:paraId="2381343C" w14:textId="77777777" w:rsidR="00031B4E" w:rsidRDefault="00031B4E" w:rsidP="00F9533A">
            <w:pPr>
              <w:pStyle w:val="aff8"/>
              <w:ind w:left="105" w:right="105"/>
              <w:rPr>
                <w:rFonts w:hint="eastAsia"/>
              </w:rPr>
            </w:pPr>
            <w:r>
              <w:rPr>
                <w:rFonts w:hint="eastAsia"/>
              </w:rPr>
              <w:t>現行條文</w:t>
            </w:r>
          </w:p>
        </w:tc>
        <w:tc>
          <w:tcPr>
            <w:tcW w:w="3043" w:type="dxa"/>
            <w:tcBorders>
              <w:top w:val="nil"/>
            </w:tcBorders>
          </w:tcPr>
          <w:p w14:paraId="2EBDA802" w14:textId="77777777" w:rsidR="00031B4E" w:rsidRDefault="00031B4E" w:rsidP="00F9533A">
            <w:pPr>
              <w:pStyle w:val="aff8"/>
              <w:ind w:left="105" w:right="105"/>
              <w:rPr>
                <w:rFonts w:hint="eastAsia"/>
              </w:rPr>
            </w:pPr>
            <w:r>
              <w:rPr>
                <w:rFonts w:hint="eastAsia"/>
              </w:rPr>
              <w:t>說明</w:t>
            </w:r>
          </w:p>
        </w:tc>
      </w:tr>
      <w:tr w:rsidR="00031B4E" w14:paraId="43BAC9D7" w14:textId="77777777" w:rsidTr="00F9533A">
        <w:tc>
          <w:tcPr>
            <w:tcW w:w="3042" w:type="dxa"/>
          </w:tcPr>
          <w:p w14:paraId="6DE0D780" w14:textId="77777777" w:rsidR="00031B4E" w:rsidRDefault="00031B4E" w:rsidP="00F9533A">
            <w:pPr>
              <w:spacing w:line="315" w:lineRule="exact"/>
              <w:ind w:leftChars="50" w:left="316" w:rightChars="50" w:right="105" w:hangingChars="100" w:hanging="211"/>
              <w:rPr>
                <w:rFonts w:hint="eastAsia"/>
              </w:rPr>
            </w:pPr>
            <w:r>
              <w:rPr>
                <w:rFonts w:hint="eastAsia"/>
              </w:rPr>
              <w:t>第十條之一　保護機構辦理前條第一項業務，發現上市、上櫃或興櫃公司之董事或監察人，有證券交易法第一百五十五條、第一百五十七條之一或期貨交易法第一百零六條至第一百零八條規定之情事，或執行業務有重大損害公司之行為或違反法令或章程之重大事項，得依下列規定辦理：</w:t>
            </w:r>
          </w:p>
          <w:p w14:paraId="65B828A8" w14:textId="77777777" w:rsidR="00031B4E" w:rsidRDefault="00031B4E" w:rsidP="00F9533A">
            <w:pPr>
              <w:spacing w:line="315" w:lineRule="exact"/>
              <w:ind w:leftChars="150" w:left="527" w:rightChars="50" w:right="105" w:hangingChars="100" w:hanging="211"/>
              <w:rPr>
                <w:rFonts w:hint="eastAsia"/>
              </w:rPr>
            </w:pPr>
            <w:r>
              <w:rPr>
                <w:rFonts w:hint="eastAsia"/>
              </w:rPr>
              <w:t>一、以書面請求公司之監察人為公司對董事提起訴訟，或請求公司之董事會為公司對監察人提起訴訟，或請求公司對已卸任之董事或監察人提起訴訟。監察人、董事會或公司自保護機構請求之日起三十日內不提起訴訟時，保護機構得為公司提起訴訟，不受公司法第二百十四條及第二百二十七條準用第二百十四條之限制。</w:t>
            </w:r>
          </w:p>
          <w:p w14:paraId="64FCA93E" w14:textId="77777777" w:rsidR="00031B4E" w:rsidRDefault="00031B4E" w:rsidP="00F9533A">
            <w:pPr>
              <w:spacing w:line="315" w:lineRule="exact"/>
              <w:ind w:leftChars="150" w:left="527" w:rightChars="50" w:right="105" w:hangingChars="100" w:hanging="211"/>
              <w:rPr>
                <w:rFonts w:hint="eastAsia"/>
              </w:rPr>
            </w:pPr>
            <w:r>
              <w:rPr>
                <w:rFonts w:hint="eastAsia"/>
              </w:rPr>
              <w:t>二、訴請法院裁判解任公司之</w:t>
            </w:r>
            <w:r w:rsidRPr="00C553AD">
              <w:rPr>
                <w:rFonts w:hint="eastAsia"/>
                <w:u w:val="single"/>
              </w:rPr>
              <w:t>董事、監察人或已卸任之</w:t>
            </w:r>
            <w:r w:rsidRPr="00F9533A">
              <w:rPr>
                <w:rFonts w:hint="eastAsia"/>
                <w:u w:val="single"/>
              </w:rPr>
              <w:t>董事、監察人</w:t>
            </w:r>
            <w:r>
              <w:rPr>
                <w:rFonts w:hint="eastAsia"/>
              </w:rPr>
              <w:t>，不受公司法第二百條及第二百二十七條準用第二百條之限制，且解任事由不以起訴時任期內發生者為限。</w:t>
            </w:r>
          </w:p>
          <w:p w14:paraId="4BF5A529" w14:textId="77777777" w:rsidR="00031B4E" w:rsidRDefault="00031B4E" w:rsidP="00F9533A">
            <w:pPr>
              <w:spacing w:line="315" w:lineRule="exact"/>
              <w:ind w:leftChars="150" w:left="316" w:rightChars="50" w:right="105" w:firstLineChars="200" w:firstLine="422"/>
              <w:rPr>
                <w:rFonts w:hint="eastAsia"/>
              </w:rPr>
            </w:pPr>
            <w:r>
              <w:rPr>
                <w:rFonts w:hint="eastAsia"/>
              </w:rPr>
              <w:t>前項第二款訴請法院裁判解任權，自保護機構知有解任事由時起，二年間不行使，或自解任事由發生時起，經過十年而消滅。</w:t>
            </w:r>
          </w:p>
          <w:p w14:paraId="29CDF67B" w14:textId="77777777" w:rsidR="00031B4E" w:rsidRDefault="00031B4E" w:rsidP="00F9533A">
            <w:pPr>
              <w:spacing w:line="315" w:lineRule="exact"/>
              <w:ind w:leftChars="150" w:left="316" w:rightChars="50" w:right="105" w:firstLineChars="200" w:firstLine="422"/>
              <w:rPr>
                <w:rFonts w:hint="eastAsia"/>
              </w:rPr>
            </w:pPr>
            <w:r>
              <w:rPr>
                <w:rFonts w:hint="eastAsia"/>
              </w:rPr>
              <w:t>第三十四條至第三十六條規定，於保護機構依第一</w:t>
            </w:r>
            <w:r>
              <w:rPr>
                <w:rFonts w:hint="eastAsia"/>
              </w:rPr>
              <w:lastRenderedPageBreak/>
              <w:t>項規定提起訴訟、上訴或聲請保全程序、執行程序時，準用之。</w:t>
            </w:r>
          </w:p>
          <w:p w14:paraId="5D758554" w14:textId="77777777" w:rsidR="00031B4E" w:rsidRDefault="00031B4E" w:rsidP="00F9533A">
            <w:pPr>
              <w:spacing w:line="315" w:lineRule="exact"/>
              <w:ind w:leftChars="150" w:left="316" w:rightChars="50" w:right="105" w:firstLineChars="200" w:firstLine="422"/>
              <w:rPr>
                <w:rFonts w:hint="eastAsia"/>
              </w:rPr>
            </w:pPr>
            <w:r>
              <w:rPr>
                <w:rFonts w:hint="eastAsia"/>
              </w:rPr>
              <w:t>公司因故終止上市、上櫃或興櫃者，保護機構就該公司於上市、上櫃或興櫃期間有第一項所定情事，仍有前三項規定之適用。</w:t>
            </w:r>
          </w:p>
          <w:p w14:paraId="0088CDA6" w14:textId="77777777" w:rsidR="00031B4E" w:rsidRDefault="00031B4E" w:rsidP="00F9533A">
            <w:pPr>
              <w:spacing w:line="315" w:lineRule="exact"/>
              <w:ind w:leftChars="150" w:left="316" w:rightChars="50" w:right="105" w:firstLineChars="200" w:firstLine="422"/>
              <w:rPr>
                <w:rFonts w:hint="eastAsia"/>
              </w:rPr>
            </w:pPr>
            <w:r>
              <w:rPr>
                <w:rFonts w:hint="eastAsia"/>
              </w:rPr>
              <w:t>保護機構依第一項第一款規定提起訴訟時，就同一基礎事實應負賠償責任且有為公司管理事務及簽名之權之人，得合併起訴或為訴之追加；其職務關係消滅者，亦同。</w:t>
            </w:r>
          </w:p>
          <w:p w14:paraId="1B45FC86" w14:textId="77777777" w:rsidR="00031B4E" w:rsidRDefault="00031B4E" w:rsidP="00F9533A">
            <w:pPr>
              <w:spacing w:line="315" w:lineRule="exact"/>
              <w:ind w:leftChars="150" w:left="316" w:rightChars="50" w:right="105" w:firstLineChars="200" w:firstLine="422"/>
              <w:rPr>
                <w:rFonts w:hint="eastAsia"/>
              </w:rPr>
            </w:pPr>
            <w:r>
              <w:rPr>
                <w:rFonts w:hint="eastAsia"/>
              </w:rPr>
              <w:t>公司之監察人、董事會或公司依第一項第一款規定提起訴訟時，保護機構為維護公司及股東權益，於該訴訟繫屬中得為參加，並準用民事訴訟法第五十六條第一項規定。</w:t>
            </w:r>
          </w:p>
          <w:p w14:paraId="66F56264" w14:textId="77777777" w:rsidR="00031B4E" w:rsidRDefault="00031B4E" w:rsidP="00F9533A">
            <w:pPr>
              <w:spacing w:line="315" w:lineRule="exact"/>
              <w:ind w:leftChars="150" w:left="316" w:rightChars="50" w:right="105" w:firstLineChars="200" w:firstLine="422"/>
              <w:rPr>
                <w:rFonts w:hint="eastAsia"/>
              </w:rPr>
            </w:pPr>
            <w:r>
              <w:rPr>
                <w:rFonts w:hint="eastAsia"/>
              </w:rPr>
              <w:t>第一項第二款之</w:t>
            </w:r>
            <w:r w:rsidRPr="00F9533A">
              <w:rPr>
                <w:rFonts w:hint="eastAsia"/>
                <w:u w:val="single"/>
              </w:rPr>
              <w:t>董事、監察人或已卸任之董事、監察人</w:t>
            </w:r>
            <w:r>
              <w:rPr>
                <w:rFonts w:hint="eastAsia"/>
              </w:rPr>
              <w:t>，經法院裁判解任確定後，自裁判確定日起，三年內不得充任上市、上櫃或興櫃公司之董事、監察人及依公司法第二十七條第一項規定受指定代表行使職務之自然人，其已充任者，當然解任。</w:t>
            </w:r>
          </w:p>
          <w:p w14:paraId="6ECC8721" w14:textId="77777777" w:rsidR="00031B4E" w:rsidRDefault="00031B4E" w:rsidP="00F9533A">
            <w:pPr>
              <w:spacing w:line="315" w:lineRule="exact"/>
              <w:ind w:leftChars="150" w:left="316" w:rightChars="50" w:right="105" w:firstLineChars="200" w:firstLine="422"/>
              <w:rPr>
                <w:rFonts w:hint="eastAsia"/>
              </w:rPr>
            </w:pPr>
            <w:r>
              <w:rPr>
                <w:rFonts w:hint="eastAsia"/>
              </w:rPr>
              <w:t>第一項第二款之解任裁判確定後，由主管機關函請公司登記主管機關辦理解任登記。</w:t>
            </w:r>
          </w:p>
          <w:p w14:paraId="3768FB9E" w14:textId="77777777" w:rsidR="00031B4E" w:rsidRDefault="00031B4E" w:rsidP="00F9533A">
            <w:pPr>
              <w:spacing w:line="315" w:lineRule="exact"/>
              <w:ind w:leftChars="150" w:left="316" w:rightChars="50" w:right="105" w:firstLineChars="200" w:firstLine="422"/>
              <w:rPr>
                <w:rFonts w:hint="eastAsia"/>
              </w:rPr>
            </w:pPr>
            <w:r>
              <w:rPr>
                <w:rFonts w:hint="eastAsia"/>
              </w:rPr>
              <w:t>公司已依法設置審計委員會者，第一項及第六項所稱監察人，指審計委員會或其獨立董事成員。</w:t>
            </w:r>
          </w:p>
        </w:tc>
        <w:tc>
          <w:tcPr>
            <w:tcW w:w="3043" w:type="dxa"/>
          </w:tcPr>
          <w:p w14:paraId="5189B556" w14:textId="77777777" w:rsidR="00031B4E" w:rsidRDefault="00031B4E" w:rsidP="00F9533A">
            <w:pPr>
              <w:spacing w:line="315" w:lineRule="exact"/>
              <w:ind w:leftChars="50" w:left="316" w:rightChars="50" w:right="105" w:hangingChars="100" w:hanging="211"/>
              <w:rPr>
                <w:rFonts w:hint="eastAsia"/>
              </w:rPr>
            </w:pPr>
            <w:r>
              <w:rPr>
                <w:rFonts w:hint="eastAsia"/>
              </w:rPr>
              <w:lastRenderedPageBreak/>
              <w:t>第十條之一　保護機構辦理前條第一項業務，發現上市、上櫃或興櫃公司之董事或監察人，有證券交易法第一百五十五條、第一百五十七條之一或期貨交易法第一百零六條至第一百零八條規定之情事，或執行業務有重大損害公司之行為或違反法令或章程之重大事項，得依下列規定辦理：</w:t>
            </w:r>
          </w:p>
          <w:p w14:paraId="2AFE9563" w14:textId="77777777" w:rsidR="00031B4E" w:rsidRDefault="00031B4E" w:rsidP="00F9533A">
            <w:pPr>
              <w:spacing w:line="315" w:lineRule="exact"/>
              <w:ind w:leftChars="150" w:left="527" w:rightChars="50" w:right="105" w:hangingChars="100" w:hanging="211"/>
              <w:rPr>
                <w:rFonts w:hint="eastAsia"/>
              </w:rPr>
            </w:pPr>
            <w:r>
              <w:rPr>
                <w:rFonts w:hint="eastAsia"/>
              </w:rPr>
              <w:t>一、以書面請求公司之監察人為公司對董事提起訴訟，或請求公司之董事會為公司對監察人提起訴訟，或請求公司對已卸任之董事或監察人提起訴訟。監察人、董事會或公司自保護機構請求之日起三十日內不提起訴訟時，保護機構得為公司提起訴訟，不受公司法第二百十四條及第二百二十七條準用第二百十四條之限制。</w:t>
            </w:r>
          </w:p>
          <w:p w14:paraId="03B5B516" w14:textId="77777777" w:rsidR="00031B4E" w:rsidRDefault="00031B4E" w:rsidP="00F9533A">
            <w:pPr>
              <w:spacing w:line="315" w:lineRule="exact"/>
              <w:ind w:leftChars="150" w:left="527" w:rightChars="50" w:right="105" w:hangingChars="100" w:hanging="211"/>
              <w:rPr>
                <w:rFonts w:hint="eastAsia"/>
              </w:rPr>
            </w:pPr>
            <w:r>
              <w:rPr>
                <w:rFonts w:hint="eastAsia"/>
              </w:rPr>
              <w:t>二、訴請法院裁判解任公司之董事或監察人，不受公司法第二百條及第二百二十七條準用第二百條之限制，且解任事由不以起訴時任期內發生者為限。</w:t>
            </w:r>
          </w:p>
          <w:p w14:paraId="6CF0B05B" w14:textId="77777777" w:rsidR="00031B4E" w:rsidRDefault="00031B4E" w:rsidP="00F9533A">
            <w:pPr>
              <w:spacing w:line="315" w:lineRule="exact"/>
              <w:ind w:leftChars="150" w:left="316" w:rightChars="50" w:right="105" w:firstLineChars="200" w:firstLine="422"/>
              <w:rPr>
                <w:rFonts w:hint="eastAsia"/>
              </w:rPr>
            </w:pPr>
            <w:r>
              <w:rPr>
                <w:rFonts w:hint="eastAsia"/>
              </w:rPr>
              <w:t>前項第二款訴請法院裁判解任權，自保護機構知有解任事由時起，二年間不行使，或自解任事由發生時起，經過十年而消滅。</w:t>
            </w:r>
          </w:p>
          <w:p w14:paraId="68AA8912" w14:textId="77777777" w:rsidR="00031B4E" w:rsidRDefault="00031B4E" w:rsidP="00F9533A">
            <w:pPr>
              <w:spacing w:line="315" w:lineRule="exact"/>
              <w:ind w:leftChars="150" w:left="316" w:rightChars="50" w:right="105" w:firstLineChars="200" w:firstLine="422"/>
              <w:rPr>
                <w:rFonts w:hint="eastAsia"/>
              </w:rPr>
            </w:pPr>
            <w:r>
              <w:rPr>
                <w:rFonts w:hint="eastAsia"/>
              </w:rPr>
              <w:t>第三十四條至第三十六條規定，於保護機構依第一項規定提起訴訟、上訴或聲</w:t>
            </w:r>
            <w:r>
              <w:rPr>
                <w:rFonts w:hint="eastAsia"/>
              </w:rPr>
              <w:lastRenderedPageBreak/>
              <w:t>請保全程序、執行程序時，準用之。</w:t>
            </w:r>
          </w:p>
          <w:p w14:paraId="715954AC" w14:textId="77777777" w:rsidR="00031B4E" w:rsidRDefault="00031B4E" w:rsidP="00F9533A">
            <w:pPr>
              <w:spacing w:line="315" w:lineRule="exact"/>
              <w:ind w:leftChars="150" w:left="316" w:rightChars="50" w:right="105" w:firstLineChars="200" w:firstLine="422"/>
              <w:rPr>
                <w:rFonts w:hint="eastAsia"/>
              </w:rPr>
            </w:pPr>
            <w:r>
              <w:rPr>
                <w:rFonts w:hint="eastAsia"/>
              </w:rPr>
              <w:t>公司因故終止上市、上櫃或興櫃者，保護機構就該公司於上市、上櫃或興櫃期間有第一項所定情事，仍有前三項規定之適用。</w:t>
            </w:r>
          </w:p>
          <w:p w14:paraId="0B124239" w14:textId="77777777" w:rsidR="00031B4E" w:rsidRDefault="00031B4E" w:rsidP="00F9533A">
            <w:pPr>
              <w:spacing w:line="315" w:lineRule="exact"/>
              <w:ind w:leftChars="150" w:left="316" w:rightChars="50" w:right="105" w:firstLineChars="200" w:firstLine="422"/>
              <w:rPr>
                <w:rFonts w:hint="eastAsia"/>
              </w:rPr>
            </w:pPr>
            <w:r>
              <w:rPr>
                <w:rFonts w:hint="eastAsia"/>
              </w:rPr>
              <w:t>保護機構依第一項第一款規定提起訴訟時，就同一基礎事實應負賠償責任且有為公司管理事務及簽名之權之人，得合併起訴或為訴之追加；其職務關係消滅者，亦同。</w:t>
            </w:r>
          </w:p>
          <w:p w14:paraId="5683425F" w14:textId="77777777" w:rsidR="00031B4E" w:rsidRDefault="00031B4E" w:rsidP="00F9533A">
            <w:pPr>
              <w:spacing w:line="315" w:lineRule="exact"/>
              <w:ind w:leftChars="150" w:left="316" w:rightChars="50" w:right="105" w:firstLineChars="200" w:firstLine="422"/>
              <w:rPr>
                <w:rFonts w:hint="eastAsia"/>
              </w:rPr>
            </w:pPr>
            <w:r>
              <w:rPr>
                <w:rFonts w:hint="eastAsia"/>
              </w:rPr>
              <w:t>公司之監察人、董事會或公司依第一項第一款規定提起訴訟時，保護機構為維護公司及股東權益，於該訴訟繫屬中得為參加，並準用民事訴訟法第五十六條第一項規定。</w:t>
            </w:r>
          </w:p>
          <w:p w14:paraId="04962329" w14:textId="77777777" w:rsidR="00031B4E" w:rsidRDefault="00031B4E" w:rsidP="00F9533A">
            <w:pPr>
              <w:spacing w:line="315" w:lineRule="exact"/>
              <w:ind w:leftChars="150" w:left="316" w:rightChars="50" w:right="105" w:firstLineChars="200" w:firstLine="422"/>
              <w:rPr>
                <w:rFonts w:hint="eastAsia"/>
              </w:rPr>
            </w:pPr>
            <w:r>
              <w:rPr>
                <w:rFonts w:hint="eastAsia"/>
              </w:rPr>
              <w:t>第一項第二款之董事或監察人，經法院裁判解任確定後，自裁判確定日起，三年內不得充任上市、上櫃或興櫃公司之董事、監察人及依公司法第二十七條第一項規定受指定代表行使職務之自然人，其已充任者，當然解任。</w:t>
            </w:r>
          </w:p>
          <w:p w14:paraId="0ECF9DE9" w14:textId="77777777" w:rsidR="00031B4E" w:rsidRDefault="00031B4E" w:rsidP="00F9533A">
            <w:pPr>
              <w:spacing w:line="315" w:lineRule="exact"/>
              <w:ind w:leftChars="150" w:left="316" w:rightChars="50" w:right="105" w:firstLineChars="200" w:firstLine="422"/>
              <w:rPr>
                <w:rFonts w:hint="eastAsia"/>
              </w:rPr>
            </w:pPr>
            <w:r>
              <w:rPr>
                <w:rFonts w:hint="eastAsia"/>
              </w:rPr>
              <w:t>第一項第二款之解任裁判確定後，由主管機關函請公司登記主管機關辦理解任登記。</w:t>
            </w:r>
          </w:p>
          <w:p w14:paraId="4DE9A818" w14:textId="77777777" w:rsidR="00031B4E" w:rsidRDefault="00031B4E" w:rsidP="00F9533A">
            <w:pPr>
              <w:spacing w:line="315" w:lineRule="exact"/>
              <w:ind w:leftChars="150" w:left="316" w:rightChars="50" w:right="105" w:firstLineChars="200" w:firstLine="422"/>
              <w:rPr>
                <w:rFonts w:hint="eastAsia"/>
              </w:rPr>
            </w:pPr>
            <w:r>
              <w:rPr>
                <w:rFonts w:hint="eastAsia"/>
              </w:rPr>
              <w:t>公司已依法設置審計委員會者，第一項及第六項所稱監察人，指審計委員會或其獨立董事成員。</w:t>
            </w:r>
          </w:p>
        </w:tc>
        <w:tc>
          <w:tcPr>
            <w:tcW w:w="3043" w:type="dxa"/>
          </w:tcPr>
          <w:p w14:paraId="17E28041" w14:textId="77777777" w:rsidR="00031B4E" w:rsidRDefault="00031B4E" w:rsidP="00F9533A">
            <w:pPr>
              <w:spacing w:line="315" w:lineRule="exact"/>
              <w:ind w:leftChars="50" w:left="105" w:rightChars="50" w:right="105"/>
              <w:rPr>
                <w:rFonts w:hint="eastAsia"/>
              </w:rPr>
            </w:pPr>
            <w:r>
              <w:rPr>
                <w:rFonts w:hint="eastAsia"/>
              </w:rPr>
              <w:lastRenderedPageBreak/>
              <w:t>為確保公司及其股東權益，貫徹「證券投資人及期貨交易人保護法」第十條之一第一項第一款董事及監察人失格規定之公益目的，爰提案修正第十條之一第一項第二款，明列已卸任之董事或監察人。</w:t>
            </w:r>
          </w:p>
          <w:p w14:paraId="675F07CA" w14:textId="77777777" w:rsidR="00031B4E" w:rsidRDefault="00031B4E" w:rsidP="00F9533A">
            <w:pPr>
              <w:spacing w:line="315" w:lineRule="exact"/>
              <w:ind w:leftChars="50" w:left="105" w:rightChars="50" w:right="105"/>
              <w:rPr>
                <w:rFonts w:hint="eastAsia"/>
              </w:rPr>
            </w:pPr>
            <w:r>
              <w:rPr>
                <w:rFonts w:hint="eastAsia"/>
              </w:rPr>
              <w:t>配合前項法條修正，第十條之一第七項一併明列已卸任之董事或監察人。</w:t>
            </w:r>
          </w:p>
        </w:tc>
      </w:tr>
    </w:tbl>
    <w:p w14:paraId="6FDE27CD" w14:textId="77777777" w:rsidR="00D22A25" w:rsidRDefault="00D31B25" w:rsidP="00031B4E">
      <w:pPr>
        <w:rPr>
          <w:rFonts w:hint="eastAsia"/>
        </w:rPr>
      </w:pPr>
      <w:r>
        <w:rPr>
          <w:rFonts w:hint="eastAsia"/>
        </w:rPr>
        <w:pict w14:anchorId="2EFC1BD2">
          <v:line id="DW6950647" o:spid="_x0000_s1028" style="position:absolute;left:0;text-align:left;z-index:251657216;mso-position-horizontal-relative:text;mso-position-vertical-relative:text" from="-2.35pt,-.1pt" to="455.45pt,-.1pt" strokeweight="1.5pt"/>
        </w:pict>
      </w:r>
    </w:p>
    <w:p w14:paraId="38A9D67D" w14:textId="77777777" w:rsidR="00031B4E" w:rsidRPr="00441B24" w:rsidRDefault="00C553AD" w:rsidP="00031B4E">
      <w:pPr>
        <w:rPr>
          <w:rFonts w:hint="eastAsia"/>
        </w:rPr>
      </w:pPr>
      <w:r>
        <w:br w:type="page"/>
      </w:r>
    </w:p>
    <w:sectPr w:rsidR="00031B4E" w:rsidRPr="00441B24" w:rsidSect="00031B4E">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53B3BA" w14:textId="77777777" w:rsidR="00987D47" w:rsidRDefault="00987D47">
      <w:r>
        <w:separator/>
      </w:r>
    </w:p>
  </w:endnote>
  <w:endnote w:type="continuationSeparator" w:id="0">
    <w:p w14:paraId="185C9A70" w14:textId="77777777" w:rsidR="00987D47" w:rsidRDefault="00987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A528C" w14:textId="77777777" w:rsidR="00C553AD" w:rsidRPr="00AD36E3" w:rsidRDefault="00AD36E3" w:rsidP="00AD36E3">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8807AB">
      <w:t>150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610FEE" w14:textId="77777777" w:rsidR="00C553AD" w:rsidRPr="00AD36E3" w:rsidRDefault="00AD36E3" w:rsidP="00AD36E3">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987D47">
      <w:t>147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7A0932" w14:textId="77777777" w:rsidR="00987D47" w:rsidRDefault="00987D47">
      <w:r>
        <w:separator/>
      </w:r>
    </w:p>
  </w:footnote>
  <w:footnote w:type="continuationSeparator" w:id="0">
    <w:p w14:paraId="0C69FBDE" w14:textId="77777777" w:rsidR="00987D47" w:rsidRDefault="00987D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FEFB2" w14:textId="77777777" w:rsidR="00C553AD" w:rsidRPr="00AD36E3" w:rsidRDefault="00AD36E3" w:rsidP="00AD36E3">
    <w:pPr>
      <w:pStyle w:val="afffa"/>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15</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3077D" w14:textId="77777777" w:rsidR="00C553AD" w:rsidRPr="00AD36E3" w:rsidRDefault="00AD36E3" w:rsidP="00AD36E3">
    <w:pPr>
      <w:pStyle w:val="afffa"/>
      <w:spacing w:line="210" w:lineRule="exact"/>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15</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835267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1B4E"/>
    <w:rsid w:val="00021974"/>
    <w:rsid w:val="00031B4E"/>
    <w:rsid w:val="000322E4"/>
    <w:rsid w:val="00034179"/>
    <w:rsid w:val="0006260D"/>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343CA"/>
    <w:rsid w:val="00235073"/>
    <w:rsid w:val="00235BD9"/>
    <w:rsid w:val="00240FA3"/>
    <w:rsid w:val="0024333A"/>
    <w:rsid w:val="00243679"/>
    <w:rsid w:val="00252A12"/>
    <w:rsid w:val="00293B0A"/>
    <w:rsid w:val="002A04DC"/>
    <w:rsid w:val="002A509E"/>
    <w:rsid w:val="002C335B"/>
    <w:rsid w:val="003516B8"/>
    <w:rsid w:val="00355CB3"/>
    <w:rsid w:val="00360394"/>
    <w:rsid w:val="00362E94"/>
    <w:rsid w:val="00372E8D"/>
    <w:rsid w:val="0037609B"/>
    <w:rsid w:val="00387860"/>
    <w:rsid w:val="00395E18"/>
    <w:rsid w:val="003A00D7"/>
    <w:rsid w:val="003A62B4"/>
    <w:rsid w:val="003A6947"/>
    <w:rsid w:val="003B341B"/>
    <w:rsid w:val="004034F0"/>
    <w:rsid w:val="004047CB"/>
    <w:rsid w:val="00405CC1"/>
    <w:rsid w:val="004126B4"/>
    <w:rsid w:val="0042704C"/>
    <w:rsid w:val="0044045C"/>
    <w:rsid w:val="00441B24"/>
    <w:rsid w:val="00443AB2"/>
    <w:rsid w:val="00453F8A"/>
    <w:rsid w:val="00473B4E"/>
    <w:rsid w:val="00485C17"/>
    <w:rsid w:val="004C0C53"/>
    <w:rsid w:val="004C459D"/>
    <w:rsid w:val="004D78BA"/>
    <w:rsid w:val="004E74DF"/>
    <w:rsid w:val="004F17A8"/>
    <w:rsid w:val="00542984"/>
    <w:rsid w:val="00552448"/>
    <w:rsid w:val="00572D70"/>
    <w:rsid w:val="005A6EE5"/>
    <w:rsid w:val="005B1DB0"/>
    <w:rsid w:val="00632430"/>
    <w:rsid w:val="006367EA"/>
    <w:rsid w:val="00655703"/>
    <w:rsid w:val="006873C4"/>
    <w:rsid w:val="006B2CB0"/>
    <w:rsid w:val="006C7F9F"/>
    <w:rsid w:val="006D7D23"/>
    <w:rsid w:val="006E2402"/>
    <w:rsid w:val="006E3C20"/>
    <w:rsid w:val="006F10CF"/>
    <w:rsid w:val="006F5861"/>
    <w:rsid w:val="00722A05"/>
    <w:rsid w:val="00732BD2"/>
    <w:rsid w:val="00735FD8"/>
    <w:rsid w:val="007776A4"/>
    <w:rsid w:val="00781901"/>
    <w:rsid w:val="007908D5"/>
    <w:rsid w:val="00794FA3"/>
    <w:rsid w:val="007A1C27"/>
    <w:rsid w:val="007A4599"/>
    <w:rsid w:val="007C4084"/>
    <w:rsid w:val="007D04A0"/>
    <w:rsid w:val="007E74DC"/>
    <w:rsid w:val="007F7A16"/>
    <w:rsid w:val="00861B21"/>
    <w:rsid w:val="00863C32"/>
    <w:rsid w:val="00864C67"/>
    <w:rsid w:val="008807AB"/>
    <w:rsid w:val="00883D74"/>
    <w:rsid w:val="00890DA8"/>
    <w:rsid w:val="008A0C5D"/>
    <w:rsid w:val="008B4209"/>
    <w:rsid w:val="008E326C"/>
    <w:rsid w:val="008E4E36"/>
    <w:rsid w:val="008E5D88"/>
    <w:rsid w:val="0090241A"/>
    <w:rsid w:val="00926F56"/>
    <w:rsid w:val="00963798"/>
    <w:rsid w:val="00987D47"/>
    <w:rsid w:val="00992003"/>
    <w:rsid w:val="009C16B2"/>
    <w:rsid w:val="009C3904"/>
    <w:rsid w:val="009D3F34"/>
    <w:rsid w:val="009E10F6"/>
    <w:rsid w:val="00A05B7F"/>
    <w:rsid w:val="00A0600A"/>
    <w:rsid w:val="00A07C81"/>
    <w:rsid w:val="00A13259"/>
    <w:rsid w:val="00A32A9C"/>
    <w:rsid w:val="00A678DC"/>
    <w:rsid w:val="00A80A44"/>
    <w:rsid w:val="00A86BD4"/>
    <w:rsid w:val="00A876DC"/>
    <w:rsid w:val="00AA2ADF"/>
    <w:rsid w:val="00AC692A"/>
    <w:rsid w:val="00AC6A09"/>
    <w:rsid w:val="00AD36E3"/>
    <w:rsid w:val="00AD6810"/>
    <w:rsid w:val="00AF1CCC"/>
    <w:rsid w:val="00AF41E9"/>
    <w:rsid w:val="00B15BB5"/>
    <w:rsid w:val="00B278AB"/>
    <w:rsid w:val="00B40364"/>
    <w:rsid w:val="00BA71D7"/>
    <w:rsid w:val="00BB5684"/>
    <w:rsid w:val="00BE0A55"/>
    <w:rsid w:val="00BF63AF"/>
    <w:rsid w:val="00C201E0"/>
    <w:rsid w:val="00C216C6"/>
    <w:rsid w:val="00C50091"/>
    <w:rsid w:val="00C553AD"/>
    <w:rsid w:val="00C56D95"/>
    <w:rsid w:val="00C84B2E"/>
    <w:rsid w:val="00C9556F"/>
    <w:rsid w:val="00C9653B"/>
    <w:rsid w:val="00CD541C"/>
    <w:rsid w:val="00CE016C"/>
    <w:rsid w:val="00CF12AE"/>
    <w:rsid w:val="00CF6866"/>
    <w:rsid w:val="00D03570"/>
    <w:rsid w:val="00D05F85"/>
    <w:rsid w:val="00D07EA1"/>
    <w:rsid w:val="00D22A25"/>
    <w:rsid w:val="00D31B25"/>
    <w:rsid w:val="00D32121"/>
    <w:rsid w:val="00D542A5"/>
    <w:rsid w:val="00D65F9F"/>
    <w:rsid w:val="00D84D2B"/>
    <w:rsid w:val="00D922B6"/>
    <w:rsid w:val="00D95A94"/>
    <w:rsid w:val="00DA65B7"/>
    <w:rsid w:val="00DA6A2B"/>
    <w:rsid w:val="00DA7D72"/>
    <w:rsid w:val="00DC1C3F"/>
    <w:rsid w:val="00DC2697"/>
    <w:rsid w:val="00DD2164"/>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612"/>
    <w:rsid w:val="00ED580D"/>
    <w:rsid w:val="00ED5C0E"/>
    <w:rsid w:val="00ED5E9D"/>
    <w:rsid w:val="00F1464A"/>
    <w:rsid w:val="00F30B58"/>
    <w:rsid w:val="00F474B2"/>
    <w:rsid w:val="00F61EC1"/>
    <w:rsid w:val="00F71E07"/>
    <w:rsid w:val="00F82284"/>
    <w:rsid w:val="00F85C4D"/>
    <w:rsid w:val="00F85D0A"/>
    <w:rsid w:val="00F92C63"/>
    <w:rsid w:val="00F9533A"/>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4604E39"/>
  <w15:chartTrackingRefBased/>
  <w15:docId w15:val="{AE276308-61E4-476A-8E70-6FA037DC7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 w:type="paragraph" w:styleId="affffff7">
    <w:name w:val="Balloon Text"/>
    <w:basedOn w:val="a"/>
    <w:link w:val="affffff8"/>
    <w:uiPriority w:val="99"/>
    <w:semiHidden/>
    <w:unhideWhenUsed/>
    <w:rsid w:val="00A07C81"/>
    <w:rPr>
      <w:rFonts w:ascii="Cambria" w:eastAsia="新細明體" w:hAnsi="Cambria"/>
      <w:sz w:val="18"/>
      <w:szCs w:val="18"/>
    </w:rPr>
  </w:style>
  <w:style w:type="character" w:customStyle="1" w:styleId="affffff8">
    <w:name w:val="註解方塊文字 字元"/>
    <w:link w:val="affffff7"/>
    <w:uiPriority w:val="99"/>
    <w:semiHidden/>
    <w:rsid w:val="00A07C81"/>
    <w:rPr>
      <w:rFonts w:ascii="Cambria" w:eastAsia="新細明體" w:hAnsi="Cambria" w:cs="Times New Roman"/>
      <w:noProof/>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141D6-6FA1-4A04-8A88-140A91BE4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7號</dc:creator>
  <cp:keywords>11;1;15</cp:keywords>
  <dc:description>委147;委150;4;議案202110048420000</dc:description>
  <cp:lastModifiedBy>景濰 李</cp:lastModifiedBy>
  <cp:revision>2</cp:revision>
  <cp:lastPrinted>2024-05-15T11:54:00Z</cp:lastPrinted>
  <dcterms:created xsi:type="dcterms:W3CDTF">2025-08-05T09:34:00Z</dcterms:created>
  <dcterms:modified xsi:type="dcterms:W3CDTF">2025-08-05T09:34:00Z</dcterms:modified>
</cp:coreProperties>
</file>