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36FF7" w14:textId="77777777" w:rsidR="00FB2FDA" w:rsidRDefault="00FB2FDA" w:rsidP="00FB2FDA">
      <w:pPr>
        <w:spacing w:afterLines="50" w:after="167"/>
      </w:pPr>
      <w:r>
        <w:rPr>
          <w:rFonts w:hint="eastAsia"/>
        </w:rPr>
        <w:t xml:space="preserve">　　　　　　　　　　　　　　　　　　　　　　　　　　　　　</w:t>
      </w:r>
      <w:r w:rsidR="00B27304">
        <w:rPr>
          <w:rFonts w:hint="eastAsia"/>
        </w:rPr>
        <w:t>議案編號：</w:t>
      </w:r>
      <w:r w:rsidR="00B27304">
        <w:rPr>
          <w:rFonts w:hint="eastAsia"/>
        </w:rPr>
        <w:t>202110140000000</w:t>
      </w:r>
    </w:p>
    <w:p w14:paraId="6BCB5282" w14:textId="77777777" w:rsidR="00FB2FDA" w:rsidRDefault="00FB2FDA" w:rsidP="00FB2FDA">
      <w:pPr>
        <w:snapToGrid w:val="0"/>
        <w:ind w:leftChars="400" w:left="844"/>
        <w:rPr>
          <w:rFonts w:ascii="細明體" w:hAnsi="細明體" w:hint="eastAsia"/>
        </w:rPr>
      </w:pPr>
      <w:r w:rsidRPr="00FB2FDA">
        <w:rPr>
          <w:rFonts w:eastAsia="標楷體" w:hint="eastAsia"/>
          <w:kern w:val="0"/>
          <w:sz w:val="42"/>
        </w:rPr>
        <w:t>立法院議案關係文書</w:t>
      </w:r>
      <w:r>
        <w:rPr>
          <w:rFonts w:hint="eastAsia"/>
        </w:rPr>
        <w:t xml:space="preserve">　</w:t>
      </w:r>
      <w:r w:rsidR="007F0CF4">
        <w:rPr>
          <w:rFonts w:ascii="細明體" w:hAnsi="細明體" w:hint="eastAsia"/>
        </w:rPr>
        <w:fldChar w:fldCharType="begin"/>
      </w:r>
      <w:r w:rsidR="007F0CF4">
        <w:rPr>
          <w:rFonts w:ascii="細明體" w:hAnsi="細明體" w:hint="eastAsia"/>
        </w:rPr>
        <w:instrText xml:space="preserve"> eq \o\ad(\s\up5(（中華民國41年9月起編號）),\s\do5(中華民國114年7月4日印發))</w:instrText>
      </w:r>
      <w:r w:rsidR="007F0CF4">
        <w:rPr>
          <w:rFonts w:ascii="細明體" w:hAnsi="細明體" w:hint="eastAsia"/>
        </w:rPr>
        <w:fldChar w:fldCharType="end"/>
      </w:r>
    </w:p>
    <w:p w14:paraId="72294820" w14:textId="77777777" w:rsidR="00FB2FDA" w:rsidRDefault="00FB2FDA" w:rsidP="00FB2FDA">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FB2FDA" w14:paraId="3506FC68" w14:textId="77777777" w:rsidTr="00A842B8">
        <w:tc>
          <w:tcPr>
            <w:tcW w:w="0" w:type="auto"/>
            <w:vAlign w:val="center"/>
          </w:tcPr>
          <w:p w14:paraId="34C0DA0E" w14:textId="77777777" w:rsidR="00FB2FDA" w:rsidRDefault="00FB2FDA" w:rsidP="00A842B8">
            <w:pPr>
              <w:pStyle w:val="affff"/>
              <w:rPr>
                <w:rFonts w:hint="eastAsia"/>
              </w:rPr>
            </w:pPr>
            <w:r>
              <w:rPr>
                <w:rFonts w:hint="eastAsia"/>
              </w:rPr>
              <w:t>院總第</w:t>
            </w:r>
            <w:r>
              <w:rPr>
                <w:rFonts w:hint="eastAsia"/>
              </w:rPr>
              <w:t>20</w:t>
            </w:r>
            <w:r>
              <w:rPr>
                <w:rFonts w:hint="eastAsia"/>
              </w:rPr>
              <w:t>號</w:t>
            </w:r>
          </w:p>
        </w:tc>
        <w:tc>
          <w:tcPr>
            <w:tcW w:w="0" w:type="auto"/>
            <w:vAlign w:val="center"/>
          </w:tcPr>
          <w:p w14:paraId="657A0A40" w14:textId="77777777" w:rsidR="00FB2FDA" w:rsidRDefault="00FB2FDA" w:rsidP="00A842B8">
            <w:pPr>
              <w:pStyle w:val="affff5"/>
              <w:ind w:leftChars="200" w:left="422"/>
              <w:rPr>
                <w:rFonts w:hint="eastAsia"/>
              </w:rPr>
            </w:pPr>
            <w:r>
              <w:rPr>
                <w:rFonts w:hint="eastAsia"/>
              </w:rPr>
              <w:t>委員</w:t>
            </w:r>
          </w:p>
        </w:tc>
        <w:tc>
          <w:tcPr>
            <w:tcW w:w="0" w:type="auto"/>
            <w:vAlign w:val="center"/>
          </w:tcPr>
          <w:p w14:paraId="15E817D0" w14:textId="77777777" w:rsidR="00FB2FDA" w:rsidRDefault="00FB2FDA" w:rsidP="00A842B8">
            <w:pPr>
              <w:pStyle w:val="affff5"/>
              <w:rPr>
                <w:rFonts w:hint="eastAsia"/>
              </w:rPr>
            </w:pPr>
            <w:r>
              <w:rPr>
                <w:rFonts w:hint="eastAsia"/>
              </w:rPr>
              <w:t>提案第</w:t>
            </w:r>
          </w:p>
        </w:tc>
        <w:tc>
          <w:tcPr>
            <w:tcW w:w="0" w:type="auto"/>
            <w:tcMar>
              <w:left w:w="113" w:type="dxa"/>
              <w:right w:w="113" w:type="dxa"/>
            </w:tcMar>
            <w:vAlign w:val="center"/>
          </w:tcPr>
          <w:p w14:paraId="03E642E2" w14:textId="77777777" w:rsidR="00FB2FDA" w:rsidRDefault="00FB2FDA" w:rsidP="00A842B8">
            <w:pPr>
              <w:pStyle w:val="affff5"/>
              <w:jc w:val="distribute"/>
              <w:rPr>
                <w:rFonts w:hint="eastAsia"/>
              </w:rPr>
            </w:pPr>
            <w:r>
              <w:t>11014000</w:t>
            </w:r>
          </w:p>
        </w:tc>
        <w:tc>
          <w:tcPr>
            <w:tcW w:w="0" w:type="auto"/>
            <w:vAlign w:val="center"/>
          </w:tcPr>
          <w:p w14:paraId="33A0940C" w14:textId="77777777" w:rsidR="00FB2FDA" w:rsidRDefault="00FB2FDA" w:rsidP="00A842B8">
            <w:pPr>
              <w:pStyle w:val="affff5"/>
              <w:rPr>
                <w:rFonts w:hint="eastAsia"/>
              </w:rPr>
            </w:pPr>
            <w:r>
              <w:rPr>
                <w:rFonts w:hint="eastAsia"/>
              </w:rPr>
              <w:t>號</w:t>
            </w:r>
          </w:p>
        </w:tc>
        <w:tc>
          <w:tcPr>
            <w:tcW w:w="0" w:type="auto"/>
            <w:vAlign w:val="center"/>
          </w:tcPr>
          <w:p w14:paraId="325C4FD3" w14:textId="77777777" w:rsidR="00FB2FDA" w:rsidRDefault="00FB2FDA" w:rsidP="00A842B8">
            <w:pPr>
              <w:pStyle w:val="affff5"/>
              <w:rPr>
                <w:rFonts w:hint="eastAsia"/>
              </w:rPr>
            </w:pPr>
          </w:p>
        </w:tc>
        <w:tc>
          <w:tcPr>
            <w:tcW w:w="0" w:type="auto"/>
            <w:tcMar>
              <w:left w:w="113" w:type="dxa"/>
            </w:tcMar>
            <w:vAlign w:val="center"/>
          </w:tcPr>
          <w:p w14:paraId="1A6F25B9" w14:textId="77777777" w:rsidR="00FB2FDA" w:rsidRDefault="00FB2FDA" w:rsidP="00A842B8">
            <w:pPr>
              <w:pStyle w:val="affff5"/>
              <w:rPr>
                <w:rFonts w:hint="eastAsia"/>
              </w:rPr>
            </w:pPr>
          </w:p>
        </w:tc>
      </w:tr>
    </w:tbl>
    <w:p w14:paraId="680DDF38" w14:textId="77777777" w:rsidR="00FB2FDA" w:rsidRDefault="00FB2FDA" w:rsidP="00FB2FDA">
      <w:pPr>
        <w:pStyle w:val="afb"/>
        <w:spacing w:line="600" w:lineRule="exact"/>
        <w:ind w:left="1382" w:hanging="855"/>
        <w:rPr>
          <w:rFonts w:hint="eastAsia"/>
        </w:rPr>
      </w:pPr>
    </w:p>
    <w:p w14:paraId="77396572" w14:textId="77777777" w:rsidR="00FB2FDA" w:rsidRDefault="00FB2FDA" w:rsidP="00FB2FDA">
      <w:pPr>
        <w:pStyle w:val="afb"/>
        <w:ind w:left="1382" w:hanging="855"/>
        <w:rPr>
          <w:rFonts w:hint="eastAsia"/>
        </w:rPr>
      </w:pPr>
      <w:r>
        <w:rPr>
          <w:rFonts w:hint="eastAsia"/>
        </w:rPr>
        <w:t>案由：本院委員蘇巧慧、陳冠廷、吳琪銘等</w:t>
      </w:r>
      <w:r>
        <w:rPr>
          <w:rFonts w:hint="eastAsia"/>
        </w:rPr>
        <w:t>22</w:t>
      </w:r>
      <w:r>
        <w:rPr>
          <w:rFonts w:hint="eastAsia"/>
        </w:rPr>
        <w:t>人，為避免犯詐欺犯罪者透過自白並宣稱無犯罪所得換取減刑，使該政策性優惠未能達成取回被害人財產上損害的效果，爰擬具</w:t>
      </w:r>
      <w:r w:rsidR="00B27304">
        <w:rPr>
          <w:rFonts w:hint="eastAsia"/>
        </w:rPr>
        <w:t>「</w:t>
      </w:r>
      <w:r>
        <w:rPr>
          <w:rFonts w:hint="eastAsia"/>
        </w:rPr>
        <w:t>詐欺犯罪危</w:t>
      </w:r>
      <w:r w:rsidRPr="00B27304">
        <w:rPr>
          <w:rFonts w:hint="eastAsia"/>
          <w:spacing w:val="8"/>
        </w:rPr>
        <w:t>害防制條例第四十六條及第四十七條條文修正草案</w:t>
      </w:r>
      <w:r w:rsidR="00B27304" w:rsidRPr="00B27304">
        <w:rPr>
          <w:rFonts w:hint="eastAsia"/>
          <w:spacing w:val="8"/>
        </w:rPr>
        <w:t>」</w:t>
      </w:r>
      <w:r w:rsidRPr="00B27304">
        <w:rPr>
          <w:rFonts w:hint="eastAsia"/>
          <w:spacing w:val="8"/>
        </w:rPr>
        <w:t>。是</w:t>
      </w:r>
      <w:r>
        <w:rPr>
          <w:rFonts w:hint="eastAsia"/>
        </w:rPr>
        <w:t>否有當？敬請公決。</w:t>
      </w:r>
    </w:p>
    <w:p w14:paraId="6FF5BB26" w14:textId="77777777" w:rsidR="00FB2FDA" w:rsidRPr="00FB2FDA" w:rsidRDefault="00FB2FDA" w:rsidP="00FB2FDA">
      <w:pPr>
        <w:pStyle w:val="afb"/>
        <w:ind w:left="1382" w:hanging="855"/>
      </w:pPr>
    </w:p>
    <w:p w14:paraId="4119A102" w14:textId="77777777" w:rsidR="00FB2FDA" w:rsidRDefault="00FB2FDA" w:rsidP="00FB2FDA"/>
    <w:p w14:paraId="0F429B7A" w14:textId="77777777" w:rsidR="00FB2FDA" w:rsidRDefault="00FB2FDA" w:rsidP="00FB2FDA">
      <w:pPr>
        <w:pStyle w:val="-"/>
        <w:ind w:left="3165" w:right="633" w:hanging="844"/>
        <w:rPr>
          <w:rFonts w:hint="eastAsia"/>
        </w:rPr>
      </w:pPr>
      <w:r>
        <w:rPr>
          <w:rFonts w:hint="eastAsia"/>
        </w:rPr>
        <w:t xml:space="preserve">提案人：蘇巧慧　　陳冠廷　　吳琪銘　　</w:t>
      </w:r>
    </w:p>
    <w:p w14:paraId="09535152" w14:textId="77777777" w:rsidR="00FB2FDA" w:rsidRDefault="00FB2FDA" w:rsidP="00FB2FDA">
      <w:pPr>
        <w:pStyle w:val="-"/>
        <w:ind w:left="3165" w:right="633" w:hanging="844"/>
        <w:rPr>
          <w:rFonts w:hint="eastAsia"/>
        </w:rPr>
      </w:pPr>
      <w:r>
        <w:rPr>
          <w:rFonts w:hint="eastAsia"/>
        </w:rPr>
        <w:t xml:space="preserve">連署人：賴惠員　　林俊憲　　林宜瑾　　李柏毅　　沈發惠　　吳秉叡　　李昆澤　　蔡其昌　　王美惠　　王正旭　　陳素月　　鍾佳濱　　黃　捷　　沈伯洋　　王定宇　　賴瑞隆　　吳沛憶　　陳俊宇　　郭國文　　</w:t>
      </w:r>
    </w:p>
    <w:p w14:paraId="5C635A87" w14:textId="77777777" w:rsidR="00FB2FDA" w:rsidRDefault="00FB2FDA" w:rsidP="00FB2FDA">
      <w:pPr>
        <w:sectPr w:rsidR="00FB2FDA" w:rsidSect="00B77E52">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99"/>
          <w:cols w:space="720"/>
          <w:docGrid w:type="linesAndChars" w:linePitch="335" w:charSpace="200"/>
        </w:sectPr>
      </w:pPr>
    </w:p>
    <w:p w14:paraId="6A94DF88" w14:textId="77777777" w:rsidR="00FB2FDA" w:rsidRDefault="00FB2FDA" w:rsidP="00B27304">
      <w:pPr>
        <w:spacing w:line="14" w:lineRule="exact"/>
        <w:sectPr w:rsidR="00FB2FDA" w:rsidSect="00FB2FDA">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FB2FDA" w14:paraId="6095A458" w14:textId="77777777" w:rsidTr="00A842B8">
        <w:tc>
          <w:tcPr>
            <w:tcW w:w="9128" w:type="dxa"/>
            <w:gridSpan w:val="3"/>
            <w:tcBorders>
              <w:top w:val="nil"/>
              <w:left w:val="nil"/>
              <w:bottom w:val="nil"/>
              <w:right w:val="nil"/>
            </w:tcBorders>
          </w:tcPr>
          <w:p w14:paraId="6C505339" w14:textId="77777777" w:rsidR="00FB2FDA" w:rsidRPr="00A842B8" w:rsidRDefault="00FB2FDA" w:rsidP="00A842B8">
            <w:pPr>
              <w:spacing w:before="105" w:after="105" w:line="480" w:lineRule="exact"/>
              <w:ind w:leftChars="500" w:left="1055"/>
              <w:rPr>
                <w:rFonts w:ascii="標楷體" w:eastAsia="標楷體" w:hAnsi="標楷體" w:hint="eastAsia"/>
                <w:sz w:val="28"/>
              </w:rPr>
            </w:pPr>
            <w:r w:rsidRPr="00A842B8">
              <w:rPr>
                <w:rFonts w:ascii="標楷體" w:eastAsia="標楷體" w:hAnsi="標楷體"/>
                <w:sz w:val="28"/>
              </w:rPr>
              <w:br w:type="page"/>
              <w:t>詐</w:t>
            </w:r>
            <w:r w:rsidRPr="00B27304">
              <w:rPr>
                <w:rFonts w:ascii="標楷體" w:eastAsia="標楷體" w:hAnsi="標楷體"/>
                <w:spacing w:val="4"/>
                <w:sz w:val="28"/>
              </w:rPr>
              <w:t>欺犯罪危害防制條例第四十六條及第四十七條</w:t>
            </w:r>
            <w:r w:rsidR="00B27304" w:rsidRPr="00B27304">
              <w:rPr>
                <w:rFonts w:ascii="標楷體" w:eastAsia="標楷體" w:hAnsi="標楷體" w:hint="eastAsia"/>
                <w:spacing w:val="4"/>
                <w:sz w:val="28"/>
              </w:rPr>
              <w:t>條</w:t>
            </w:r>
            <w:r w:rsidRPr="00B27304">
              <w:rPr>
                <w:rFonts w:ascii="標楷體" w:eastAsia="標楷體" w:hAnsi="標楷體"/>
                <w:spacing w:val="4"/>
                <w:sz w:val="28"/>
              </w:rPr>
              <w:t>文修正草案對</w:t>
            </w:r>
            <w:r w:rsidRPr="00A842B8">
              <w:rPr>
                <w:rFonts w:ascii="標楷體" w:eastAsia="標楷體" w:hAnsi="標楷體"/>
                <w:sz w:val="28"/>
              </w:rPr>
              <w:t>照表</w:t>
            </w:r>
            <w:bookmarkStart w:id="0" w:name="TA7161218"/>
            <w:bookmarkEnd w:id="0"/>
          </w:p>
        </w:tc>
      </w:tr>
      <w:tr w:rsidR="00FB2FDA" w14:paraId="159FA78B" w14:textId="77777777" w:rsidTr="00A842B8">
        <w:tc>
          <w:tcPr>
            <w:tcW w:w="3042" w:type="dxa"/>
            <w:tcBorders>
              <w:top w:val="nil"/>
            </w:tcBorders>
          </w:tcPr>
          <w:p w14:paraId="67CEC0DF" w14:textId="77777777" w:rsidR="00FB2FDA" w:rsidRDefault="00FB2FDA" w:rsidP="00A842B8">
            <w:pPr>
              <w:pStyle w:val="aff8"/>
              <w:ind w:left="105" w:right="105"/>
              <w:rPr>
                <w:rFonts w:hint="eastAsia"/>
              </w:rPr>
            </w:pPr>
            <w:r>
              <w:rPr>
                <w:rFonts w:hint="eastAsia"/>
              </w:rPr>
              <w:pict w14:anchorId="7133A606">
                <v:line id="DW456441"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01CA235A" w14:textId="77777777" w:rsidR="00FB2FDA" w:rsidRDefault="00FB2FDA" w:rsidP="00A842B8">
            <w:pPr>
              <w:pStyle w:val="aff8"/>
              <w:ind w:left="105" w:right="105"/>
              <w:rPr>
                <w:rFonts w:hint="eastAsia"/>
              </w:rPr>
            </w:pPr>
            <w:r>
              <w:rPr>
                <w:rFonts w:hint="eastAsia"/>
              </w:rPr>
              <w:t>現行條文</w:t>
            </w:r>
          </w:p>
        </w:tc>
        <w:tc>
          <w:tcPr>
            <w:tcW w:w="3043" w:type="dxa"/>
            <w:tcBorders>
              <w:top w:val="nil"/>
            </w:tcBorders>
          </w:tcPr>
          <w:p w14:paraId="42BADC3B" w14:textId="77777777" w:rsidR="00FB2FDA" w:rsidRDefault="00FB2FDA" w:rsidP="00A842B8">
            <w:pPr>
              <w:pStyle w:val="aff8"/>
              <w:ind w:left="105" w:right="105"/>
              <w:rPr>
                <w:rFonts w:hint="eastAsia"/>
              </w:rPr>
            </w:pPr>
            <w:r>
              <w:rPr>
                <w:rFonts w:hint="eastAsia"/>
              </w:rPr>
              <w:t>說明</w:t>
            </w:r>
          </w:p>
        </w:tc>
      </w:tr>
      <w:tr w:rsidR="00FB2FDA" w14:paraId="7FD6A81A" w14:textId="77777777" w:rsidTr="00A842B8">
        <w:tc>
          <w:tcPr>
            <w:tcW w:w="3042" w:type="dxa"/>
          </w:tcPr>
          <w:p w14:paraId="28EB3D63" w14:textId="77777777" w:rsidR="00FB2FDA" w:rsidRDefault="00FB2FDA" w:rsidP="00A842B8">
            <w:pPr>
              <w:spacing w:line="315" w:lineRule="exact"/>
              <w:ind w:leftChars="50" w:left="316" w:rightChars="50" w:right="105" w:hangingChars="100" w:hanging="211"/>
              <w:rPr>
                <w:rFonts w:hint="eastAsia"/>
              </w:rPr>
            </w:pPr>
            <w:r>
              <w:rPr>
                <w:rFonts w:hint="eastAsia"/>
              </w:rPr>
              <w:t>第四十六條　犯詐欺犯罪，於犯罪後自首，</w:t>
            </w:r>
            <w:r w:rsidRPr="00A842B8">
              <w:rPr>
                <w:rFonts w:hint="eastAsia"/>
                <w:u w:val="single"/>
              </w:rPr>
              <w:t>且</w:t>
            </w:r>
            <w:r>
              <w:rPr>
                <w:rFonts w:hint="eastAsia"/>
              </w:rPr>
              <w:t>如有犯罪所得，自動繳交其犯罪所得者，</w:t>
            </w:r>
            <w:r w:rsidRPr="00A842B8">
              <w:rPr>
                <w:rFonts w:hint="eastAsia"/>
                <w:u w:val="single"/>
              </w:rPr>
              <w:t>得</w:t>
            </w:r>
            <w:r>
              <w:rPr>
                <w:rFonts w:hint="eastAsia"/>
              </w:rPr>
              <w:t>減輕或免除其刑。</w:t>
            </w:r>
          </w:p>
          <w:p w14:paraId="639EDA27" w14:textId="77777777" w:rsidR="00FB2FDA" w:rsidRDefault="00FB2FDA" w:rsidP="00A842B8">
            <w:pPr>
              <w:spacing w:line="315" w:lineRule="exact"/>
              <w:ind w:leftChars="150" w:left="316" w:rightChars="50" w:right="105" w:firstLineChars="200" w:firstLine="422"/>
              <w:rPr>
                <w:rFonts w:hint="eastAsia"/>
              </w:rPr>
            </w:pPr>
            <w:r w:rsidRPr="00A842B8">
              <w:rPr>
                <w:rFonts w:hint="eastAsia"/>
                <w:u w:val="single"/>
              </w:rPr>
              <w:t>前項情形，並因而使司法警察機關或檢察官得以扣押該組織所取得全部被害人交付之財物或財產上利益或查獲發起、主持、操縱或指揮詐欺犯罪組織之人，或於法院言詞辯論終結前，支付與被害人達成調解或和解之全部金額者，得</w:t>
            </w:r>
            <w:r>
              <w:rPr>
                <w:rFonts w:hint="eastAsia"/>
              </w:rPr>
              <w:t>免除其刑。</w:t>
            </w:r>
          </w:p>
          <w:p w14:paraId="6023E62E" w14:textId="77777777" w:rsidR="00FB2FDA" w:rsidRDefault="00FB2FDA" w:rsidP="00A842B8">
            <w:pPr>
              <w:spacing w:line="315" w:lineRule="exact"/>
              <w:ind w:leftChars="50" w:left="105" w:rightChars="50" w:right="105"/>
              <w:rPr>
                <w:rFonts w:hint="eastAsia"/>
              </w:rPr>
            </w:pPr>
          </w:p>
        </w:tc>
        <w:tc>
          <w:tcPr>
            <w:tcW w:w="3043" w:type="dxa"/>
          </w:tcPr>
          <w:p w14:paraId="5C424EA6" w14:textId="77777777" w:rsidR="00FB2FDA" w:rsidRDefault="00FB2FDA" w:rsidP="00A842B8">
            <w:pPr>
              <w:spacing w:line="315" w:lineRule="exact"/>
              <w:ind w:leftChars="50" w:left="316" w:rightChars="50" w:right="105" w:hangingChars="100" w:hanging="211"/>
              <w:rPr>
                <w:rFonts w:hint="eastAsia"/>
              </w:rPr>
            </w:pPr>
            <w:r>
              <w:rPr>
                <w:rFonts w:hint="eastAsia"/>
              </w:rPr>
              <w:t>第四十六條　犯詐欺犯罪，於犯罪後自首，如有犯罪所得，自動繳交其犯罪所得者，減輕或免除其刑；並因而使司法警察機關或檢察官得以扣押全部犯罪所得，或查獲發起、主持、操縱或指揮詐欺犯罪組織之人者，免除其刑。</w:t>
            </w:r>
          </w:p>
        </w:tc>
        <w:tc>
          <w:tcPr>
            <w:tcW w:w="3043" w:type="dxa"/>
          </w:tcPr>
          <w:p w14:paraId="76D00B45" w14:textId="77777777" w:rsidR="00FB2FDA" w:rsidRDefault="00FB2FDA" w:rsidP="00A842B8">
            <w:pPr>
              <w:spacing w:line="315" w:lineRule="exact"/>
              <w:ind w:leftChars="50" w:left="316" w:rightChars="50" w:right="105" w:hangingChars="100" w:hanging="211"/>
              <w:rPr>
                <w:rFonts w:hint="eastAsia"/>
              </w:rPr>
            </w:pPr>
            <w:r>
              <w:rPr>
                <w:rFonts w:hint="eastAsia"/>
              </w:rPr>
              <w:t>一、於本條第一項明定行為人犯罪後，除自首其所犯罪行外，於自動繳交其犯罪所得時，是填補其所造成財產法益侵害且符合罪刑相當原則，故賦予法官裁量得減輕或免除其刑的空間。</w:t>
            </w:r>
          </w:p>
          <w:p w14:paraId="264D5585" w14:textId="77777777" w:rsidR="00FB2FDA" w:rsidRDefault="00FB2FDA" w:rsidP="00A842B8">
            <w:pPr>
              <w:spacing w:line="315" w:lineRule="exact"/>
              <w:ind w:leftChars="50" w:left="316" w:rightChars="50" w:right="105" w:hangingChars="100" w:hanging="211"/>
              <w:rPr>
                <w:rFonts w:hint="eastAsia"/>
              </w:rPr>
            </w:pPr>
            <w:r>
              <w:rPr>
                <w:rFonts w:hint="eastAsia"/>
              </w:rPr>
              <w:t>二、第二項新增。原條文後段移至第二項，並將司法警察及檢察官得扣押範圍，修正為該組織所取得全部被害人交付之財物或財產上利益，以鼓勵積極填補被害人之損失。又為鼓勵犯罪行為人勇於自新，協助調查，並供述自己所犯罪行外，能供述與該案案情有重要關係之待證事項或其他正犯或共犯之犯罪事證，因而使司法警察機關或檢察官查獲發起、主持、操縱或指揮詐欺犯罪組織之人，爰於本項定明於此情形免除其刑，以為誘因。</w:t>
            </w:r>
          </w:p>
        </w:tc>
      </w:tr>
      <w:tr w:rsidR="00FB2FDA" w14:paraId="75E3F0C3" w14:textId="77777777" w:rsidTr="00A842B8">
        <w:tc>
          <w:tcPr>
            <w:tcW w:w="3042" w:type="dxa"/>
          </w:tcPr>
          <w:p w14:paraId="68FBF703" w14:textId="77777777" w:rsidR="00FB2FDA" w:rsidRDefault="00FB2FDA" w:rsidP="00A842B8">
            <w:pPr>
              <w:spacing w:line="315" w:lineRule="exact"/>
              <w:ind w:leftChars="50" w:left="316" w:rightChars="50" w:right="105" w:hangingChars="100" w:hanging="211"/>
              <w:rPr>
                <w:rFonts w:hint="eastAsia"/>
              </w:rPr>
            </w:pPr>
            <w:r>
              <w:rPr>
                <w:rFonts w:hint="eastAsia"/>
              </w:rPr>
              <w:t>第四十七條　犯詐欺犯罪，在偵查及歷次審判中</w:t>
            </w:r>
            <w:r w:rsidRPr="00B27304">
              <w:rPr>
                <w:rFonts w:hint="eastAsia"/>
                <w:u w:val="single"/>
              </w:rPr>
              <w:t>全程</w:t>
            </w:r>
            <w:r>
              <w:rPr>
                <w:rFonts w:hint="eastAsia"/>
              </w:rPr>
              <w:t>均自白，且如有犯罪所得，自動繳交其犯罪所得者，</w:t>
            </w:r>
            <w:r w:rsidRPr="00B27304">
              <w:rPr>
                <w:rFonts w:hint="eastAsia"/>
                <w:u w:val="single"/>
              </w:rPr>
              <w:t>得</w:t>
            </w:r>
            <w:r>
              <w:rPr>
                <w:rFonts w:hint="eastAsia"/>
              </w:rPr>
              <w:t>減輕其刑。</w:t>
            </w:r>
          </w:p>
          <w:p w14:paraId="25401AD0" w14:textId="77777777" w:rsidR="00FB2FDA" w:rsidRDefault="00FB2FDA" w:rsidP="00A842B8">
            <w:pPr>
              <w:spacing w:line="315" w:lineRule="exact"/>
              <w:ind w:leftChars="150" w:left="316" w:rightChars="50" w:right="105" w:firstLineChars="200" w:firstLine="422"/>
              <w:rPr>
                <w:rFonts w:hint="eastAsia"/>
              </w:rPr>
            </w:pPr>
            <w:r w:rsidRPr="00B27304">
              <w:rPr>
                <w:rFonts w:hint="eastAsia"/>
                <w:u w:val="single"/>
              </w:rPr>
              <w:t>前項情形，並因而使司法警察機關或檢察官得以扣押該組織所取得全部被害人交付之財物或財產上利益或查獲發起、主持、操縱或指揮詐欺犯罪組織之人，或於法院言詞辯論終結前，支付與被害人達成調解或和解之全部金額者，得減輕或免除</w:t>
            </w:r>
            <w:r w:rsidRPr="00B27304">
              <w:rPr>
                <w:rFonts w:hint="eastAsia"/>
                <w:u w:val="single"/>
              </w:rPr>
              <w:lastRenderedPageBreak/>
              <w:t>其刑</w:t>
            </w:r>
            <w:r>
              <w:rPr>
                <w:rFonts w:hint="eastAsia"/>
              </w:rPr>
              <w:t>。</w:t>
            </w:r>
          </w:p>
          <w:p w14:paraId="2751668B" w14:textId="77777777" w:rsidR="00FB2FDA" w:rsidRDefault="00FB2FDA" w:rsidP="00A842B8">
            <w:pPr>
              <w:spacing w:line="315" w:lineRule="exact"/>
              <w:ind w:leftChars="50" w:left="105" w:rightChars="50" w:right="105"/>
              <w:rPr>
                <w:rFonts w:hint="eastAsia"/>
              </w:rPr>
            </w:pPr>
          </w:p>
        </w:tc>
        <w:tc>
          <w:tcPr>
            <w:tcW w:w="3043" w:type="dxa"/>
          </w:tcPr>
          <w:p w14:paraId="78D7B92F" w14:textId="77777777" w:rsidR="00FB2FDA" w:rsidRDefault="00FB2FDA" w:rsidP="00A842B8">
            <w:pPr>
              <w:spacing w:line="315" w:lineRule="exact"/>
              <w:ind w:leftChars="50" w:left="316" w:rightChars="50" w:right="105" w:hangingChars="100" w:hanging="211"/>
              <w:rPr>
                <w:rFonts w:hint="eastAsia"/>
              </w:rPr>
            </w:pPr>
            <w:r>
              <w:rPr>
                <w:rFonts w:hint="eastAsia"/>
              </w:rPr>
              <w:lastRenderedPageBreak/>
              <w:t>第四十七條　犯詐欺犯罪，在偵查及歷次審判中均自白，如有犯罪所得，自動繳交其犯罪所得者，減輕其刑；並因而使司法警察機關或檢察官得以扣押全部犯罪所得，或查獲發起、主持、操縱或指揮詐欺犯罪組織之人者，減輕或免除其刑。</w:t>
            </w:r>
          </w:p>
        </w:tc>
        <w:tc>
          <w:tcPr>
            <w:tcW w:w="3043" w:type="dxa"/>
          </w:tcPr>
          <w:p w14:paraId="06E84659" w14:textId="77777777" w:rsidR="00FB2FDA" w:rsidRDefault="00FB2FDA" w:rsidP="00A842B8">
            <w:pPr>
              <w:spacing w:line="315" w:lineRule="exact"/>
              <w:ind w:leftChars="50" w:left="316" w:rightChars="50" w:right="105" w:hangingChars="100" w:hanging="211"/>
              <w:rPr>
                <w:rFonts w:hint="eastAsia"/>
              </w:rPr>
            </w:pPr>
            <w:r>
              <w:rPr>
                <w:rFonts w:hint="eastAsia"/>
              </w:rPr>
              <w:t>一、參照最高法院刑事大法庭見解，犯罪所得係指行為人因犯罪而實際取得之個人報酬，為符合罪刑相當原則，個別犯罪者若將其不法行為所得之非法利益自動交回者，是填補其所造成財產法益侵害，賦予法官得裁量減輕其刑空間。</w:t>
            </w:r>
          </w:p>
          <w:p w14:paraId="17DF8AFE" w14:textId="77777777" w:rsidR="00FB2FDA" w:rsidRDefault="00FB2FDA" w:rsidP="00A842B8">
            <w:pPr>
              <w:spacing w:line="315" w:lineRule="exact"/>
              <w:ind w:leftChars="50" w:left="316" w:rightChars="50" w:right="105" w:hangingChars="100" w:hanging="211"/>
              <w:rPr>
                <w:rFonts w:hint="eastAsia"/>
              </w:rPr>
            </w:pPr>
            <w:r>
              <w:rPr>
                <w:rFonts w:hint="eastAsia"/>
              </w:rPr>
              <w:t>二、第二項新增。原條文後段移至第二項，並將司法警察及檢察官得扣押範圍，修正為該組織所取得全部被害人交付之財物或財產上利益，</w:t>
            </w:r>
            <w:r>
              <w:rPr>
                <w:rFonts w:hint="eastAsia"/>
              </w:rPr>
              <w:lastRenderedPageBreak/>
              <w:t>以鼓勵積極填補被害人之損失。又為鼓勵犯罪行為人勇於自新，協助調查，並供述自己所犯罪行外，能供述與該案案情有重要關係之待證事項或其他正犯或共犯之犯罪事證，因而使司法警察機關或檢察官查獲發起、主持、操縱或指揮詐欺犯罪組織之人，爰於本項定明於此情形免除其刑，以為誘因。</w:t>
            </w:r>
          </w:p>
        </w:tc>
      </w:tr>
    </w:tbl>
    <w:p w14:paraId="44985569" w14:textId="77777777" w:rsidR="00D22A25" w:rsidRDefault="00FB2FDA" w:rsidP="00FB2FDA">
      <w:pPr>
        <w:rPr>
          <w:rFonts w:hint="eastAsia"/>
        </w:rPr>
      </w:pPr>
      <w:r>
        <w:rPr>
          <w:rFonts w:hint="eastAsia"/>
        </w:rPr>
        <w:lastRenderedPageBreak/>
        <w:pict w14:anchorId="65753594">
          <v:line id="DW3905407" o:spid="_x0000_s1026" style="position:absolute;left:0;text-align:left;z-index:251657216;mso-position-horizontal-relative:text;mso-position-vertical-relative:text" from="-2.35pt,.3pt" to="455.45pt,.3pt" strokeweight="1.5pt"/>
        </w:pict>
      </w:r>
    </w:p>
    <w:p w14:paraId="23117EA1" w14:textId="77777777" w:rsidR="00FB2FDA" w:rsidRPr="00441B24" w:rsidRDefault="00F600D0" w:rsidP="00FB2FDA">
      <w:pPr>
        <w:rPr>
          <w:rFonts w:hint="eastAsia"/>
        </w:rPr>
      </w:pPr>
      <w:r>
        <w:br w:type="page"/>
      </w:r>
    </w:p>
    <w:sectPr w:rsidR="00FB2FDA" w:rsidRPr="00441B24" w:rsidSect="00FB2FDA">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710B45" w14:textId="77777777" w:rsidR="007C25FE" w:rsidRDefault="007C25FE">
      <w:r>
        <w:separator/>
      </w:r>
    </w:p>
  </w:endnote>
  <w:endnote w:type="continuationSeparator" w:id="0">
    <w:p w14:paraId="7429D9A2" w14:textId="77777777" w:rsidR="007C25FE" w:rsidRDefault="007C2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07786" w14:textId="77777777" w:rsidR="00B27304" w:rsidRPr="00B77E52" w:rsidRDefault="00B77E52" w:rsidP="00B77E5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B96B5" w14:textId="77777777" w:rsidR="00B27304" w:rsidRPr="00B77E52" w:rsidRDefault="00B77E52" w:rsidP="00B77E5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E85F0" w14:textId="77777777" w:rsidR="007C25FE" w:rsidRDefault="007C25FE">
      <w:r>
        <w:separator/>
      </w:r>
    </w:p>
  </w:footnote>
  <w:footnote w:type="continuationSeparator" w:id="0">
    <w:p w14:paraId="77B146CF" w14:textId="77777777" w:rsidR="007C25FE" w:rsidRDefault="007C2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100FB" w14:textId="77777777" w:rsidR="00B27304" w:rsidRPr="00B77E52" w:rsidRDefault="00B77E52" w:rsidP="00B77E52">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0F7DA" w14:textId="77777777" w:rsidR="00B27304" w:rsidRPr="00B77E52" w:rsidRDefault="00B77E52" w:rsidP="00B77E52">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77612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2FDA"/>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65FA"/>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63438"/>
    <w:rsid w:val="00473B4E"/>
    <w:rsid w:val="00485C17"/>
    <w:rsid w:val="004C459D"/>
    <w:rsid w:val="004D78BA"/>
    <w:rsid w:val="004E2DEE"/>
    <w:rsid w:val="004E74DF"/>
    <w:rsid w:val="004F17A8"/>
    <w:rsid w:val="00542984"/>
    <w:rsid w:val="00552448"/>
    <w:rsid w:val="00572D70"/>
    <w:rsid w:val="005B1DB0"/>
    <w:rsid w:val="00632430"/>
    <w:rsid w:val="00655703"/>
    <w:rsid w:val="006873C4"/>
    <w:rsid w:val="006A4688"/>
    <w:rsid w:val="006B2CB0"/>
    <w:rsid w:val="006C7F9F"/>
    <w:rsid w:val="006D7D23"/>
    <w:rsid w:val="006E2402"/>
    <w:rsid w:val="006E3C20"/>
    <w:rsid w:val="006F10CF"/>
    <w:rsid w:val="006F5861"/>
    <w:rsid w:val="00716490"/>
    <w:rsid w:val="00722A05"/>
    <w:rsid w:val="00732BD2"/>
    <w:rsid w:val="00735FD8"/>
    <w:rsid w:val="00762A68"/>
    <w:rsid w:val="007776A4"/>
    <w:rsid w:val="00781901"/>
    <w:rsid w:val="00782F7F"/>
    <w:rsid w:val="007908D5"/>
    <w:rsid w:val="00794FA3"/>
    <w:rsid w:val="007A1C27"/>
    <w:rsid w:val="007A4599"/>
    <w:rsid w:val="007C25FE"/>
    <w:rsid w:val="007C4084"/>
    <w:rsid w:val="007D04A0"/>
    <w:rsid w:val="007D59A9"/>
    <w:rsid w:val="007E74DC"/>
    <w:rsid w:val="007F0CF4"/>
    <w:rsid w:val="007F7A16"/>
    <w:rsid w:val="0084296E"/>
    <w:rsid w:val="00861B21"/>
    <w:rsid w:val="00863C32"/>
    <w:rsid w:val="00864C67"/>
    <w:rsid w:val="00883D74"/>
    <w:rsid w:val="008A0C5D"/>
    <w:rsid w:val="008B4209"/>
    <w:rsid w:val="008E326C"/>
    <w:rsid w:val="008E5D88"/>
    <w:rsid w:val="0090241A"/>
    <w:rsid w:val="00926F56"/>
    <w:rsid w:val="00963798"/>
    <w:rsid w:val="00992003"/>
    <w:rsid w:val="0099512F"/>
    <w:rsid w:val="009C16B2"/>
    <w:rsid w:val="009C3904"/>
    <w:rsid w:val="009D3F34"/>
    <w:rsid w:val="009E10F6"/>
    <w:rsid w:val="00A05B7F"/>
    <w:rsid w:val="00A0600A"/>
    <w:rsid w:val="00A13259"/>
    <w:rsid w:val="00A32A9C"/>
    <w:rsid w:val="00A678DC"/>
    <w:rsid w:val="00A80A44"/>
    <w:rsid w:val="00A842B8"/>
    <w:rsid w:val="00A86BD4"/>
    <w:rsid w:val="00A876DC"/>
    <w:rsid w:val="00AA2ADF"/>
    <w:rsid w:val="00AB6BDB"/>
    <w:rsid w:val="00AC692A"/>
    <w:rsid w:val="00AC6A09"/>
    <w:rsid w:val="00AD6810"/>
    <w:rsid w:val="00AF1CCC"/>
    <w:rsid w:val="00B15BB5"/>
    <w:rsid w:val="00B27304"/>
    <w:rsid w:val="00B278AB"/>
    <w:rsid w:val="00B40364"/>
    <w:rsid w:val="00B77E52"/>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00D0"/>
    <w:rsid w:val="00F61EC1"/>
    <w:rsid w:val="00F71E07"/>
    <w:rsid w:val="00F82284"/>
    <w:rsid w:val="00F85C4D"/>
    <w:rsid w:val="00F92C63"/>
    <w:rsid w:val="00FA2348"/>
    <w:rsid w:val="00FB2FDA"/>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86D46EF"/>
  <w15:chartTrackingRefBased/>
  <w15:docId w15:val="{730EB7AF-6236-4755-9FE3-18BD258D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11;3;19</cp:keywords>
  <dc:description>委99;委102;4;議案202110140000000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