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BD06D" w14:textId="77777777" w:rsidR="00EF46F0" w:rsidRDefault="00EF46F0" w:rsidP="00EF46F0">
      <w:pPr>
        <w:spacing w:afterLines="50" w:after="167"/>
        <w:rPr>
          <w:rFonts w:hint="eastAsia"/>
        </w:rPr>
      </w:pPr>
      <w:r>
        <w:rPr>
          <w:rFonts w:hint="eastAsia"/>
        </w:rPr>
        <w:t xml:space="preserve">　　　　　　　　　　　　　　　　　　　　　　　　　　　　　</w:t>
      </w:r>
      <w:r w:rsidR="0075043D">
        <w:rPr>
          <w:rFonts w:hint="eastAsia"/>
        </w:rPr>
        <w:t>議案編號：</w:t>
      </w:r>
      <w:r w:rsidR="0075043D">
        <w:rPr>
          <w:rFonts w:hint="eastAsia"/>
        </w:rPr>
        <w:t>202110133570000</w:t>
      </w:r>
    </w:p>
    <w:p w14:paraId="6447BB04" w14:textId="77777777" w:rsidR="00EF46F0" w:rsidRDefault="00EF46F0" w:rsidP="00EF46F0">
      <w:pPr>
        <w:snapToGrid w:val="0"/>
        <w:ind w:leftChars="400" w:left="844"/>
        <w:rPr>
          <w:rFonts w:ascii="細明體" w:hAnsi="細明體" w:hint="eastAsia"/>
        </w:rPr>
      </w:pPr>
      <w:r w:rsidRPr="00EF46F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\o\ad(\s\up5(（中華民國41年9月起編號）),\s\do5(中華民國114年6月18日印發))</w:instrText>
      </w:r>
      <w:r>
        <w:rPr>
          <w:rFonts w:ascii="細明體" w:hAnsi="細明體"/>
        </w:rPr>
        <w:fldChar w:fldCharType="end"/>
      </w:r>
    </w:p>
    <w:p w14:paraId="2EDE64FE" w14:textId="77777777" w:rsidR="00EF46F0" w:rsidRDefault="00EF46F0" w:rsidP="00EF46F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F46F0" w14:paraId="3C457E84" w14:textId="77777777" w:rsidTr="00614E1C">
        <w:tc>
          <w:tcPr>
            <w:tcW w:w="0" w:type="auto"/>
            <w:vAlign w:val="center"/>
          </w:tcPr>
          <w:p w14:paraId="24D52444" w14:textId="77777777" w:rsidR="00EF46F0" w:rsidRDefault="00EF46F0" w:rsidP="00614E1C">
            <w:pPr>
              <w:pStyle w:val="affff"/>
              <w:rPr>
                <w:rFonts w:hint="eastAsia"/>
              </w:rPr>
            </w:pPr>
            <w:r>
              <w:rPr>
                <w:rFonts w:hint="eastAsia"/>
              </w:rPr>
              <w:t>院總第</w:t>
            </w:r>
            <w:r>
              <w:rPr>
                <w:rFonts w:hint="eastAsia"/>
              </w:rPr>
              <w:t>20</w:t>
            </w:r>
            <w:r>
              <w:rPr>
                <w:rFonts w:hint="eastAsia"/>
              </w:rPr>
              <w:t>號</w:t>
            </w:r>
          </w:p>
        </w:tc>
        <w:tc>
          <w:tcPr>
            <w:tcW w:w="0" w:type="auto"/>
            <w:vAlign w:val="center"/>
          </w:tcPr>
          <w:p w14:paraId="1FDCFCD4" w14:textId="77777777" w:rsidR="00EF46F0" w:rsidRDefault="00EF46F0" w:rsidP="00614E1C">
            <w:pPr>
              <w:pStyle w:val="affff5"/>
              <w:ind w:leftChars="200" w:left="422"/>
              <w:rPr>
                <w:rFonts w:hint="eastAsia"/>
              </w:rPr>
            </w:pPr>
            <w:r>
              <w:rPr>
                <w:rFonts w:hint="eastAsia"/>
              </w:rPr>
              <w:t>委員</w:t>
            </w:r>
          </w:p>
        </w:tc>
        <w:tc>
          <w:tcPr>
            <w:tcW w:w="0" w:type="auto"/>
            <w:vAlign w:val="center"/>
          </w:tcPr>
          <w:p w14:paraId="7BDC065C" w14:textId="77777777" w:rsidR="00EF46F0" w:rsidRDefault="00EF46F0" w:rsidP="00614E1C">
            <w:pPr>
              <w:pStyle w:val="affff5"/>
              <w:rPr>
                <w:rFonts w:hint="eastAsia"/>
              </w:rPr>
            </w:pPr>
            <w:r>
              <w:rPr>
                <w:rFonts w:hint="eastAsia"/>
              </w:rPr>
              <w:t>提案第</w:t>
            </w:r>
          </w:p>
        </w:tc>
        <w:tc>
          <w:tcPr>
            <w:tcW w:w="0" w:type="auto"/>
            <w:tcMar>
              <w:left w:w="113" w:type="dxa"/>
              <w:right w:w="113" w:type="dxa"/>
            </w:tcMar>
            <w:vAlign w:val="center"/>
          </w:tcPr>
          <w:p w14:paraId="42ED0436" w14:textId="77777777" w:rsidR="00EF46F0" w:rsidRDefault="00EF46F0" w:rsidP="00614E1C">
            <w:pPr>
              <w:pStyle w:val="affff5"/>
              <w:jc w:val="distribute"/>
              <w:rPr>
                <w:rFonts w:hint="eastAsia"/>
              </w:rPr>
            </w:pPr>
            <w:r>
              <w:t>11013357</w:t>
            </w:r>
          </w:p>
        </w:tc>
        <w:tc>
          <w:tcPr>
            <w:tcW w:w="0" w:type="auto"/>
            <w:vAlign w:val="center"/>
          </w:tcPr>
          <w:p w14:paraId="19C77126" w14:textId="77777777" w:rsidR="00EF46F0" w:rsidRDefault="00EF46F0" w:rsidP="00614E1C">
            <w:pPr>
              <w:pStyle w:val="affff5"/>
              <w:rPr>
                <w:rFonts w:hint="eastAsia"/>
              </w:rPr>
            </w:pPr>
            <w:r>
              <w:rPr>
                <w:rFonts w:hint="eastAsia"/>
              </w:rPr>
              <w:t>號</w:t>
            </w:r>
          </w:p>
        </w:tc>
        <w:tc>
          <w:tcPr>
            <w:tcW w:w="0" w:type="auto"/>
            <w:vAlign w:val="center"/>
          </w:tcPr>
          <w:p w14:paraId="134C7701" w14:textId="77777777" w:rsidR="00EF46F0" w:rsidRDefault="00EF46F0" w:rsidP="00614E1C">
            <w:pPr>
              <w:pStyle w:val="affff5"/>
              <w:rPr>
                <w:rFonts w:hint="eastAsia"/>
              </w:rPr>
            </w:pPr>
          </w:p>
        </w:tc>
        <w:tc>
          <w:tcPr>
            <w:tcW w:w="0" w:type="auto"/>
            <w:tcMar>
              <w:left w:w="113" w:type="dxa"/>
            </w:tcMar>
            <w:vAlign w:val="center"/>
          </w:tcPr>
          <w:p w14:paraId="777E1DAD" w14:textId="77777777" w:rsidR="00EF46F0" w:rsidRDefault="00EF46F0" w:rsidP="00614E1C">
            <w:pPr>
              <w:pStyle w:val="affff5"/>
              <w:rPr>
                <w:rFonts w:hint="eastAsia"/>
              </w:rPr>
            </w:pPr>
          </w:p>
        </w:tc>
      </w:tr>
    </w:tbl>
    <w:p w14:paraId="511373C8" w14:textId="77777777" w:rsidR="00EF46F0" w:rsidRDefault="00EF46F0" w:rsidP="00EF46F0">
      <w:pPr>
        <w:pStyle w:val="afb"/>
        <w:spacing w:line="600" w:lineRule="exact"/>
        <w:ind w:left="1382" w:hanging="855"/>
        <w:rPr>
          <w:rFonts w:hint="eastAsia"/>
        </w:rPr>
      </w:pPr>
    </w:p>
    <w:p w14:paraId="724D93B9" w14:textId="77777777" w:rsidR="00EF46F0" w:rsidRDefault="00EF46F0" w:rsidP="00EF46F0">
      <w:pPr>
        <w:pStyle w:val="afb"/>
        <w:ind w:left="1382" w:hanging="855"/>
        <w:rPr>
          <w:rFonts w:hint="eastAsia"/>
        </w:rPr>
      </w:pPr>
      <w:r>
        <w:rPr>
          <w:rFonts w:hint="eastAsia"/>
        </w:rPr>
        <w:t>案由：本院委員郭昱晴等</w:t>
      </w:r>
      <w:r>
        <w:rPr>
          <w:rFonts w:hint="eastAsia"/>
        </w:rPr>
        <w:t>16</w:t>
      </w:r>
      <w:r>
        <w:rPr>
          <w:rFonts w:hint="eastAsia"/>
        </w:rPr>
        <w:t>人，鑒於近年兒童遭長期虐待致死案件</w:t>
      </w:r>
      <w:r w:rsidRPr="00A63E2C">
        <w:rPr>
          <w:rFonts w:hint="eastAsia"/>
          <w:spacing w:val="0"/>
        </w:rPr>
        <w:t>層出不窮，引發社會極大震撼與公憤，現行刑法對於此類情</w:t>
      </w:r>
      <w:r>
        <w:rPr>
          <w:rFonts w:hint="eastAsia"/>
        </w:rPr>
        <w:t>節仍無明確設有與其惡性相符之加重處罰規範，未能充分體現</w:t>
      </w:r>
      <w:r w:rsidRPr="00A63E2C">
        <w:rPr>
          <w:rFonts w:hint="eastAsia"/>
          <w:spacing w:val="0"/>
        </w:rPr>
        <w:t>國家對兒童生命權之保護。爰參酌司法院</w:t>
      </w:r>
      <w:r w:rsidRPr="00A63E2C">
        <w:rPr>
          <w:rFonts w:hint="eastAsia"/>
          <w:spacing w:val="0"/>
        </w:rPr>
        <w:t>113</w:t>
      </w:r>
      <w:r w:rsidRPr="00A63E2C">
        <w:rPr>
          <w:rFonts w:hint="eastAsia"/>
          <w:spacing w:val="0"/>
        </w:rPr>
        <w:t>年憲判字第</w:t>
      </w:r>
      <w:r w:rsidRPr="00A63E2C">
        <w:rPr>
          <w:rFonts w:hint="eastAsia"/>
          <w:spacing w:val="0"/>
        </w:rPr>
        <w:t>8</w:t>
      </w:r>
      <w:r>
        <w:rPr>
          <w:rFonts w:hint="eastAsia"/>
        </w:rPr>
        <w:t>號解釋意旨，確認死刑作為憲法保障下之極刑制度仍具正當性</w:t>
      </w:r>
      <w:r w:rsidRPr="00A63E2C">
        <w:rPr>
          <w:rFonts w:hint="eastAsia"/>
          <w:spacing w:val="8"/>
        </w:rPr>
        <w:t>，並考量社會對兒童虐待致死零容忍之普遍共識，爰修正</w:t>
      </w:r>
      <w:r w:rsidRPr="00A63E2C">
        <w:rPr>
          <w:rFonts w:hint="eastAsia"/>
          <w:spacing w:val="0"/>
        </w:rPr>
        <w:t>《刑法》第</w:t>
      </w:r>
      <w:r w:rsidR="00426E63" w:rsidRPr="00426E63">
        <w:rPr>
          <w:rFonts w:hint="eastAsia"/>
          <w:spacing w:val="0"/>
        </w:rPr>
        <w:t>二百七十一</w:t>
      </w:r>
      <w:r w:rsidRPr="00A63E2C">
        <w:rPr>
          <w:rFonts w:hint="eastAsia"/>
          <w:spacing w:val="0"/>
        </w:rPr>
        <w:t>條條文，增列對未成年人施以嚴重凌虐或重大疏忽致死者之特別加重型構成要件，並增訂「死刑」為可選</w:t>
      </w:r>
      <w:r>
        <w:rPr>
          <w:rFonts w:hint="eastAsia"/>
        </w:rPr>
        <w:t>法定刑，以彰顯國家保護弱勢、落實兒童人權保障之立法決心，爰擬具「中華民國刑法第二百七十一條及第二百八十六條條文修正草案」。是否有當？敬請公決。</w:t>
      </w:r>
    </w:p>
    <w:p w14:paraId="252918C5" w14:textId="77777777" w:rsidR="00EF46F0" w:rsidRPr="00EF46F0" w:rsidRDefault="00EF46F0" w:rsidP="00EF46F0">
      <w:pPr>
        <w:pStyle w:val="afb"/>
        <w:ind w:left="1382" w:hanging="855"/>
        <w:rPr>
          <w:rFonts w:hint="eastAsia"/>
        </w:rPr>
      </w:pPr>
    </w:p>
    <w:p w14:paraId="34A7FB15" w14:textId="77777777" w:rsidR="00EF46F0" w:rsidRDefault="00EF46F0" w:rsidP="00EF46F0">
      <w:pPr>
        <w:pStyle w:val="a4"/>
        <w:ind w:left="633" w:hanging="633"/>
        <w:rPr>
          <w:rFonts w:hint="eastAsia"/>
        </w:rPr>
      </w:pPr>
      <w:r>
        <w:rPr>
          <w:rFonts w:hint="eastAsia"/>
        </w:rPr>
        <w:t>說明：</w:t>
      </w:r>
    </w:p>
    <w:p w14:paraId="2B583357" w14:textId="77777777" w:rsidR="00EF46F0" w:rsidRDefault="00EF46F0" w:rsidP="00A63E2C">
      <w:pPr>
        <w:pStyle w:val="afffff0"/>
        <w:spacing w:line="400" w:lineRule="exact"/>
        <w:ind w:left="633" w:hanging="422"/>
        <w:rPr>
          <w:rFonts w:hint="eastAsia"/>
        </w:rPr>
      </w:pPr>
      <w:r>
        <w:rPr>
          <w:rFonts w:hint="eastAsia"/>
        </w:rPr>
        <w:t>一、</w:t>
      </w:r>
      <w:r w:rsidRPr="00A63E2C">
        <w:rPr>
          <w:rFonts w:hint="eastAsia"/>
          <w:spacing w:val="4"/>
        </w:rPr>
        <w:t>本次修法針對未成年人遭受長期凌虐、疏忽照護或其他足以嚴重妨害其身心發展之方式致</w:t>
      </w:r>
      <w:r>
        <w:rPr>
          <w:rFonts w:hint="eastAsia"/>
        </w:rPr>
        <w:t>死者，增訂為《刑法》第二百七十一條特別加重構成要件之一，明定處以「死刑、無期徒刑或十二年以上有期徒刑」，以具體回應社會對重大兒虐案件之強烈關注。</w:t>
      </w:r>
    </w:p>
    <w:p w14:paraId="71B65ADB" w14:textId="77777777" w:rsidR="00EF46F0" w:rsidRDefault="00EF46F0" w:rsidP="00A63E2C">
      <w:pPr>
        <w:pStyle w:val="afffff0"/>
        <w:spacing w:line="400" w:lineRule="exact"/>
        <w:ind w:left="633" w:hanging="422"/>
        <w:rPr>
          <w:rFonts w:hint="eastAsia"/>
        </w:rPr>
      </w:pPr>
      <w:r>
        <w:rPr>
          <w:rFonts w:hint="eastAsia"/>
        </w:rPr>
        <w:t>二、兒童虐待樣態多元，除身體暴力外，尚包括精神控制、飢餓剝奪、限制自由、照護失能等，往往具長期性、隱蔽性與結構性特徵，對無反抗能力之未成年人造成深重傷害。其犯罪惡性不下於故意殺人罪，若未賦予司法機關以死刑作為量刑選項，難以對應其行為之本質與社會所期待之正義回應。</w:t>
      </w:r>
    </w:p>
    <w:p w14:paraId="7BC883FB" w14:textId="77777777" w:rsidR="00EF46F0" w:rsidRDefault="00EF46F0" w:rsidP="00A63E2C">
      <w:pPr>
        <w:pStyle w:val="afffff0"/>
        <w:spacing w:line="400" w:lineRule="exact"/>
        <w:ind w:left="633" w:hanging="422"/>
        <w:rPr>
          <w:rFonts w:hint="eastAsia"/>
        </w:rPr>
      </w:pPr>
      <w:r>
        <w:rPr>
          <w:rFonts w:hint="eastAsia"/>
        </w:rPr>
        <w:t>三、為符合法體系之完整性與兒童權益保護政策一致性，本次修法亦參酌《兒童及少年福利與</w:t>
      </w:r>
      <w:r w:rsidRPr="00A63E2C">
        <w:rPr>
          <w:rFonts w:hint="eastAsia"/>
          <w:spacing w:val="4"/>
        </w:rPr>
        <w:t>權益保障法》第二條定義，將《刑法》第二百八十六條原規定中對「未滿七歲者」加重刑</w:t>
      </w:r>
      <w:r>
        <w:rPr>
          <w:rFonts w:hint="eastAsia"/>
        </w:rPr>
        <w:t>度之年齡標準上修為「未滿十二歲者」，使法律適用更貼近實務對「兒童」之界定，並填補對七歲以上未滿十二歲兒童保護的落差。</w:t>
      </w:r>
    </w:p>
    <w:p w14:paraId="567C4146" w14:textId="77777777" w:rsidR="00EF46F0" w:rsidRDefault="00EF46F0" w:rsidP="00EF46F0">
      <w:pPr>
        <w:pStyle w:val="-"/>
        <w:ind w:left="3165" w:right="633" w:hanging="844"/>
        <w:rPr>
          <w:rFonts w:hint="eastAsia"/>
        </w:rPr>
      </w:pPr>
      <w:r>
        <w:rPr>
          <w:rFonts w:hint="eastAsia"/>
        </w:rPr>
        <w:lastRenderedPageBreak/>
        <w:t xml:space="preserve">提案人：郭昱晴　　</w:t>
      </w:r>
    </w:p>
    <w:p w14:paraId="77E0F577" w14:textId="77777777" w:rsidR="00EF46F0" w:rsidRDefault="00EF46F0" w:rsidP="00EF46F0">
      <w:pPr>
        <w:pStyle w:val="-"/>
        <w:ind w:left="3165" w:right="633" w:hanging="844"/>
        <w:rPr>
          <w:rFonts w:hint="eastAsia"/>
        </w:rPr>
      </w:pPr>
      <w:r>
        <w:rPr>
          <w:rFonts w:hint="eastAsia"/>
        </w:rPr>
        <w:t xml:space="preserve">連署人：林宜瑾　　沈伯洋　　王美惠　　陳亭妃　　鍾佳濱　　陳秀寳　　李坤城　　王義川　　徐富癸　　陳素月　　王定宇　　王世堅　　陳俊宇　　陳　瑩　　陳冠廷　　</w:t>
      </w:r>
    </w:p>
    <w:p w14:paraId="0C35CAAC" w14:textId="77777777" w:rsidR="00EF46F0" w:rsidRDefault="00EF46F0" w:rsidP="00EF46F0"/>
    <w:p w14:paraId="06ACE674" w14:textId="77777777" w:rsidR="00EF46F0" w:rsidRDefault="00EF46F0" w:rsidP="00EF46F0">
      <w:pPr>
        <w:pStyle w:val="affffe"/>
        <w:ind w:firstLine="422"/>
        <w:sectPr w:rsidR="00EF46F0" w:rsidSect="00AD011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1"/>
          <w:cols w:space="720"/>
          <w:docGrid w:type="linesAndChars" w:linePitch="335" w:charSpace="200"/>
        </w:sectPr>
      </w:pPr>
    </w:p>
    <w:p w14:paraId="3211ABEF" w14:textId="77777777" w:rsidR="00EF46F0" w:rsidRDefault="00EF46F0" w:rsidP="00EF46F0">
      <w:pPr>
        <w:spacing w:line="14" w:lineRule="exact"/>
        <w:sectPr w:rsidR="00EF46F0" w:rsidSect="00EF46F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F46F0" w14:paraId="24E393CB" w14:textId="77777777" w:rsidTr="00614E1C">
        <w:tc>
          <w:tcPr>
            <w:tcW w:w="9128" w:type="dxa"/>
            <w:gridSpan w:val="3"/>
            <w:tcBorders>
              <w:top w:val="nil"/>
              <w:left w:val="nil"/>
              <w:bottom w:val="nil"/>
              <w:right w:val="nil"/>
            </w:tcBorders>
          </w:tcPr>
          <w:p w14:paraId="6AFDC7B6" w14:textId="77777777" w:rsidR="00EF46F0" w:rsidRPr="00614E1C" w:rsidRDefault="00EF46F0" w:rsidP="00614E1C">
            <w:pPr>
              <w:spacing w:before="105" w:after="105" w:line="480" w:lineRule="exact"/>
              <w:ind w:leftChars="500" w:left="1055"/>
              <w:rPr>
                <w:rFonts w:ascii="標楷體" w:eastAsia="標楷體" w:hAnsi="標楷體" w:hint="eastAsia"/>
                <w:sz w:val="28"/>
              </w:rPr>
            </w:pPr>
            <w:r w:rsidRPr="00614E1C">
              <w:rPr>
                <w:rFonts w:ascii="標楷體" w:eastAsia="標楷體" w:hAnsi="標楷體"/>
                <w:sz w:val="28"/>
              </w:rPr>
              <w:br w:type="page"/>
            </w:r>
            <w:r w:rsidRPr="00FD2443">
              <w:rPr>
                <w:rFonts w:ascii="標楷體" w:eastAsia="標楷體" w:hAnsi="標楷體"/>
                <w:spacing w:val="4"/>
                <w:sz w:val="28"/>
              </w:rPr>
              <w:t>中華民國刑法第二百七十一條及第二百八十六條條文修正草案對</w:t>
            </w:r>
            <w:r w:rsidRPr="00614E1C">
              <w:rPr>
                <w:rFonts w:ascii="標楷體" w:eastAsia="標楷體" w:hAnsi="標楷體"/>
                <w:sz w:val="28"/>
              </w:rPr>
              <w:t>照表</w:t>
            </w:r>
            <w:bookmarkStart w:id="0" w:name="TA9354822"/>
            <w:bookmarkEnd w:id="0"/>
          </w:p>
        </w:tc>
      </w:tr>
      <w:tr w:rsidR="00EF46F0" w14:paraId="2B91B3D2" w14:textId="77777777" w:rsidTr="00614E1C">
        <w:tc>
          <w:tcPr>
            <w:tcW w:w="3042" w:type="dxa"/>
            <w:tcBorders>
              <w:top w:val="nil"/>
            </w:tcBorders>
          </w:tcPr>
          <w:p w14:paraId="49A9A431" w14:textId="77777777" w:rsidR="00EF46F0" w:rsidRDefault="00EF46F0" w:rsidP="00614E1C">
            <w:pPr>
              <w:pStyle w:val="aff8"/>
              <w:ind w:left="105" w:right="105"/>
              <w:rPr>
                <w:rFonts w:hint="eastAsia"/>
              </w:rPr>
            </w:pPr>
            <w:r>
              <w:rPr>
                <w:rFonts w:hint="eastAsia"/>
              </w:rPr>
              <w:pict w14:anchorId="67CB1747">
                <v:line id="DW5902913"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C0CD6A7" w14:textId="77777777" w:rsidR="00EF46F0" w:rsidRDefault="00EF46F0" w:rsidP="00614E1C">
            <w:pPr>
              <w:pStyle w:val="aff8"/>
              <w:ind w:left="105" w:right="105"/>
              <w:rPr>
                <w:rFonts w:hint="eastAsia"/>
              </w:rPr>
            </w:pPr>
            <w:r>
              <w:rPr>
                <w:rFonts w:hint="eastAsia"/>
              </w:rPr>
              <w:t>現行條文</w:t>
            </w:r>
          </w:p>
        </w:tc>
        <w:tc>
          <w:tcPr>
            <w:tcW w:w="3043" w:type="dxa"/>
            <w:tcBorders>
              <w:top w:val="nil"/>
            </w:tcBorders>
          </w:tcPr>
          <w:p w14:paraId="639378E4" w14:textId="77777777" w:rsidR="00EF46F0" w:rsidRDefault="00EF46F0" w:rsidP="00614E1C">
            <w:pPr>
              <w:pStyle w:val="aff8"/>
              <w:ind w:left="105" w:right="105"/>
              <w:rPr>
                <w:rFonts w:hint="eastAsia"/>
              </w:rPr>
            </w:pPr>
            <w:r>
              <w:rPr>
                <w:rFonts w:hint="eastAsia"/>
              </w:rPr>
              <w:t>說明</w:t>
            </w:r>
          </w:p>
        </w:tc>
      </w:tr>
      <w:tr w:rsidR="00EF46F0" w14:paraId="7B74572A" w14:textId="77777777" w:rsidTr="00614E1C">
        <w:tc>
          <w:tcPr>
            <w:tcW w:w="3042" w:type="dxa"/>
          </w:tcPr>
          <w:p w14:paraId="0FAC55D6" w14:textId="77777777" w:rsidR="00EF46F0" w:rsidRDefault="00EF46F0" w:rsidP="00614E1C">
            <w:pPr>
              <w:spacing w:line="315" w:lineRule="exact"/>
              <w:ind w:leftChars="50" w:left="316" w:rightChars="50" w:right="105" w:hangingChars="100" w:hanging="211"/>
              <w:rPr>
                <w:rFonts w:hint="eastAsia"/>
              </w:rPr>
            </w:pPr>
            <w:r>
              <w:rPr>
                <w:rFonts w:hint="eastAsia"/>
              </w:rPr>
              <w:t>第二百七十一條　殺人者，處死刑、無期徒刑或十年以上有期徒刑。</w:t>
            </w:r>
          </w:p>
          <w:p w14:paraId="61659E59" w14:textId="77777777" w:rsidR="00EF46F0" w:rsidRDefault="00EF46F0" w:rsidP="00614E1C">
            <w:pPr>
              <w:spacing w:line="315" w:lineRule="exact"/>
              <w:ind w:leftChars="150" w:left="316" w:rightChars="50" w:right="105" w:firstLineChars="200" w:firstLine="422"/>
              <w:rPr>
                <w:rFonts w:hint="eastAsia"/>
              </w:rPr>
            </w:pPr>
            <w:r>
              <w:rPr>
                <w:rFonts w:hint="eastAsia"/>
              </w:rPr>
              <w:t>前項之未遂犯罰之。</w:t>
            </w:r>
          </w:p>
          <w:p w14:paraId="1278B199" w14:textId="77777777" w:rsidR="00EF46F0" w:rsidRDefault="00EF46F0" w:rsidP="00614E1C">
            <w:pPr>
              <w:spacing w:line="315" w:lineRule="exact"/>
              <w:ind w:leftChars="150" w:left="316" w:rightChars="50" w:right="105" w:firstLineChars="200" w:firstLine="422"/>
              <w:rPr>
                <w:rFonts w:hint="eastAsia"/>
              </w:rPr>
            </w:pPr>
            <w:r>
              <w:rPr>
                <w:rFonts w:hint="eastAsia"/>
              </w:rPr>
              <w:t>預備犯第一項之罪者，處二年以下有期徒刑。</w:t>
            </w:r>
          </w:p>
          <w:p w14:paraId="3B41F853" w14:textId="77777777" w:rsidR="00EF46F0" w:rsidRDefault="00EF46F0" w:rsidP="00614E1C">
            <w:pPr>
              <w:spacing w:line="315" w:lineRule="exact"/>
              <w:ind w:leftChars="150" w:left="316" w:rightChars="50" w:right="105" w:firstLineChars="200" w:firstLine="422"/>
              <w:rPr>
                <w:rFonts w:hint="eastAsia"/>
              </w:rPr>
            </w:pPr>
            <w:r w:rsidRPr="00614E1C">
              <w:rPr>
                <w:rFonts w:hint="eastAsia"/>
                <w:u w:val="single"/>
              </w:rPr>
              <w:t>殺害未滿十二歲之人，以凌虐、長期疏忽、暴力控制、飢餓、限制自由或其他足以嚴重妨害其身心發展之方式，致其死亡者，處死刑、無期徒刑或十二年以上有期徒刑。</w:t>
            </w:r>
          </w:p>
        </w:tc>
        <w:tc>
          <w:tcPr>
            <w:tcW w:w="3043" w:type="dxa"/>
          </w:tcPr>
          <w:p w14:paraId="6CE05567" w14:textId="77777777" w:rsidR="00EF46F0" w:rsidRDefault="00EF46F0" w:rsidP="00614E1C">
            <w:pPr>
              <w:spacing w:line="315" w:lineRule="exact"/>
              <w:ind w:leftChars="50" w:left="316" w:rightChars="50" w:right="105" w:hangingChars="100" w:hanging="211"/>
              <w:rPr>
                <w:rFonts w:hint="eastAsia"/>
              </w:rPr>
            </w:pPr>
            <w:r>
              <w:rPr>
                <w:rFonts w:hint="eastAsia"/>
              </w:rPr>
              <w:t>第二百七十一條　殺人者，處死刑、無期徒刑或十年以上有期徒刑。</w:t>
            </w:r>
          </w:p>
          <w:p w14:paraId="753934AB" w14:textId="77777777" w:rsidR="00EF46F0" w:rsidRDefault="00EF46F0" w:rsidP="00614E1C">
            <w:pPr>
              <w:spacing w:line="315" w:lineRule="exact"/>
              <w:ind w:leftChars="150" w:left="316" w:rightChars="50" w:right="105" w:firstLineChars="200" w:firstLine="422"/>
              <w:rPr>
                <w:rFonts w:hint="eastAsia"/>
              </w:rPr>
            </w:pPr>
            <w:r>
              <w:rPr>
                <w:rFonts w:hint="eastAsia"/>
              </w:rPr>
              <w:t>前項之未遂犯罰之。</w:t>
            </w:r>
          </w:p>
          <w:p w14:paraId="2EA685D3" w14:textId="77777777" w:rsidR="00EF46F0" w:rsidRDefault="00EF46F0" w:rsidP="00614E1C">
            <w:pPr>
              <w:spacing w:line="315" w:lineRule="exact"/>
              <w:ind w:leftChars="150" w:left="316" w:rightChars="50" w:right="105" w:firstLineChars="200" w:firstLine="422"/>
              <w:rPr>
                <w:rFonts w:hint="eastAsia"/>
              </w:rPr>
            </w:pPr>
            <w:r>
              <w:rPr>
                <w:rFonts w:hint="eastAsia"/>
              </w:rPr>
              <w:t>預備犯第一項之罪者，處二年以下有期徒刑。</w:t>
            </w:r>
          </w:p>
        </w:tc>
        <w:tc>
          <w:tcPr>
            <w:tcW w:w="3043" w:type="dxa"/>
          </w:tcPr>
          <w:p w14:paraId="4568B350" w14:textId="77777777" w:rsidR="00EF46F0" w:rsidRDefault="00EF46F0" w:rsidP="00614E1C">
            <w:pPr>
              <w:spacing w:line="315" w:lineRule="exact"/>
              <w:ind w:leftChars="50" w:left="316" w:rightChars="50" w:right="105" w:hangingChars="100" w:hanging="211"/>
              <w:rPr>
                <w:rFonts w:hint="eastAsia"/>
              </w:rPr>
            </w:pPr>
            <w:r>
              <w:rPr>
                <w:rFonts w:hint="eastAsia"/>
              </w:rPr>
              <w:t>一、為因應兒虐致死案件層出不窮，強化對未成年人生命權之保護，本次修法將長期凌虐、疏忽照護等方式致未成年人死亡之行為，明定為《刑法》第二百七十一條加重構成要件，處以死刑、無期徒刑或十二年以上有期徒刑。考量兒虐樣態多元、危害深重，其犯罪惡性不下於既遂殺人，增訂最重刑度以符社會期待，並強化司法回應與制度嚇阻力。</w:t>
            </w:r>
          </w:p>
          <w:p w14:paraId="5CB3DEB9" w14:textId="77777777" w:rsidR="00EF46F0" w:rsidRDefault="00EF46F0" w:rsidP="00614E1C">
            <w:pPr>
              <w:spacing w:line="315" w:lineRule="exact"/>
              <w:ind w:leftChars="50" w:left="316" w:rightChars="50" w:right="105" w:hangingChars="100" w:hanging="211"/>
              <w:rPr>
                <w:rFonts w:hint="eastAsia"/>
              </w:rPr>
            </w:pPr>
            <w:r>
              <w:rPr>
                <w:rFonts w:hint="eastAsia"/>
              </w:rPr>
              <w:t>二、參照《兒童及少年福利與權益保障法》對「兒童」之定義，為未滿十二歲，以補強對高風險年齡層之保護缺口，健全兒童人權保障體系。</w:t>
            </w:r>
          </w:p>
        </w:tc>
      </w:tr>
      <w:tr w:rsidR="00EF46F0" w14:paraId="65127AA0" w14:textId="77777777" w:rsidTr="00614E1C">
        <w:tc>
          <w:tcPr>
            <w:tcW w:w="3042" w:type="dxa"/>
          </w:tcPr>
          <w:p w14:paraId="3940DF0B" w14:textId="77777777" w:rsidR="00EF46F0" w:rsidRDefault="00EF46F0" w:rsidP="00614E1C">
            <w:pPr>
              <w:spacing w:line="315" w:lineRule="exact"/>
              <w:ind w:leftChars="50" w:left="316" w:rightChars="50" w:right="105" w:hangingChars="100" w:hanging="211"/>
              <w:rPr>
                <w:rFonts w:hint="eastAsia"/>
              </w:rPr>
            </w:pPr>
            <w:r>
              <w:rPr>
                <w:rFonts w:hint="eastAsia"/>
              </w:rPr>
              <w:t>第二百八十六條　對於未滿十八歲之人，施以凌虐</w:t>
            </w:r>
            <w:r w:rsidRPr="00614E1C">
              <w:rPr>
                <w:rFonts w:hint="eastAsia"/>
                <w:u w:val="single"/>
              </w:rPr>
              <w:t>、長期疏忽、暴力控制、飢餓、限制自由或其他</w:t>
            </w:r>
            <w:r>
              <w:rPr>
                <w:rFonts w:hint="eastAsia"/>
              </w:rPr>
              <w:t>以妨害其身心之健全或發育者，處六月以上五年以下有期徒刑。</w:t>
            </w:r>
          </w:p>
          <w:p w14:paraId="08B97B59" w14:textId="77777777" w:rsidR="00EF46F0" w:rsidRDefault="00EF46F0" w:rsidP="00614E1C">
            <w:pPr>
              <w:spacing w:line="315" w:lineRule="exact"/>
              <w:ind w:leftChars="150" w:left="316" w:rightChars="50" w:right="105" w:firstLineChars="200" w:firstLine="422"/>
              <w:rPr>
                <w:rFonts w:hint="eastAsia"/>
              </w:rPr>
            </w:pPr>
            <w:r>
              <w:rPr>
                <w:rFonts w:hint="eastAsia"/>
              </w:rPr>
              <w:t>意圖營利，而犯前項之罪者，處五年以上有期徒刑，得併科三百萬元以下罰金。</w:t>
            </w:r>
          </w:p>
          <w:p w14:paraId="4EBDAA59" w14:textId="77777777" w:rsidR="00EF46F0" w:rsidRDefault="00EF46F0" w:rsidP="00614E1C">
            <w:pPr>
              <w:spacing w:line="315" w:lineRule="exact"/>
              <w:ind w:leftChars="150" w:left="316" w:rightChars="50" w:right="105" w:firstLineChars="200" w:firstLine="422"/>
              <w:rPr>
                <w:rFonts w:hint="eastAsia"/>
              </w:rPr>
            </w:pPr>
            <w:r>
              <w:rPr>
                <w:rFonts w:hint="eastAsia"/>
              </w:rPr>
              <w:t>犯第一項之罪，因而致人於死者，處無期徒刑或十年以上有期徒刑；致重傷者，處五年以上十二年以下有期徒刑。</w:t>
            </w:r>
          </w:p>
          <w:p w14:paraId="5D3CE7D4" w14:textId="77777777" w:rsidR="00EF46F0" w:rsidRDefault="00EF46F0" w:rsidP="00614E1C">
            <w:pPr>
              <w:spacing w:line="315" w:lineRule="exact"/>
              <w:ind w:leftChars="150" w:left="316" w:rightChars="50" w:right="105" w:firstLineChars="200" w:firstLine="422"/>
              <w:rPr>
                <w:rFonts w:hint="eastAsia"/>
              </w:rPr>
            </w:pPr>
            <w:r>
              <w:rPr>
                <w:rFonts w:hint="eastAsia"/>
              </w:rPr>
              <w:t>犯第二項之罪，因而致人於死者，處無期徒刑或十二年以上有期徒刑；致重傷者，處十年以上有期徒刑。</w:t>
            </w:r>
          </w:p>
          <w:p w14:paraId="0496A582" w14:textId="77777777" w:rsidR="00EF46F0" w:rsidRDefault="00EF46F0" w:rsidP="00614E1C">
            <w:pPr>
              <w:spacing w:line="315" w:lineRule="exact"/>
              <w:ind w:leftChars="150" w:left="316" w:rightChars="50" w:right="105" w:firstLineChars="200" w:firstLine="422"/>
              <w:rPr>
                <w:rFonts w:hint="eastAsia"/>
              </w:rPr>
            </w:pPr>
            <w:r>
              <w:rPr>
                <w:rFonts w:hint="eastAsia"/>
              </w:rPr>
              <w:t>對於未滿</w:t>
            </w:r>
            <w:r w:rsidRPr="00614E1C">
              <w:rPr>
                <w:rFonts w:hint="eastAsia"/>
                <w:u w:val="single"/>
              </w:rPr>
              <w:t>十二</w:t>
            </w:r>
            <w:r>
              <w:rPr>
                <w:rFonts w:hint="eastAsia"/>
              </w:rPr>
              <w:t>歲之人，犯前四項之罪者，依各該項之規定加重其刑至二分之一。</w:t>
            </w:r>
          </w:p>
        </w:tc>
        <w:tc>
          <w:tcPr>
            <w:tcW w:w="3043" w:type="dxa"/>
          </w:tcPr>
          <w:p w14:paraId="22581883" w14:textId="77777777" w:rsidR="00EF46F0" w:rsidRDefault="00EF46F0" w:rsidP="00614E1C">
            <w:pPr>
              <w:spacing w:line="315" w:lineRule="exact"/>
              <w:ind w:leftChars="50" w:left="316" w:rightChars="50" w:right="105" w:hangingChars="100" w:hanging="211"/>
              <w:rPr>
                <w:rFonts w:hint="eastAsia"/>
              </w:rPr>
            </w:pPr>
            <w:r>
              <w:rPr>
                <w:rFonts w:hint="eastAsia"/>
              </w:rPr>
              <w:t>第二百八十六條　對於未滿十八歲之人，施以凌虐或以他法足以妨害其身心之健全或發育者，處六月以上五年以下有期徒刑。</w:t>
            </w:r>
          </w:p>
          <w:p w14:paraId="28B11A7B" w14:textId="77777777" w:rsidR="00EF46F0" w:rsidRDefault="00EF46F0" w:rsidP="00614E1C">
            <w:pPr>
              <w:spacing w:line="315" w:lineRule="exact"/>
              <w:ind w:leftChars="150" w:left="316" w:rightChars="50" w:right="105" w:firstLineChars="200" w:firstLine="422"/>
              <w:rPr>
                <w:rFonts w:hint="eastAsia"/>
              </w:rPr>
            </w:pPr>
            <w:r>
              <w:rPr>
                <w:rFonts w:hint="eastAsia"/>
              </w:rPr>
              <w:t>意圖營利，而犯前項之罪者，處五年以上有期徒刑，得併科三百萬元以下罰金。</w:t>
            </w:r>
          </w:p>
          <w:p w14:paraId="2D519FB3" w14:textId="77777777" w:rsidR="00EF46F0" w:rsidRDefault="00EF46F0" w:rsidP="00614E1C">
            <w:pPr>
              <w:spacing w:line="315" w:lineRule="exact"/>
              <w:ind w:leftChars="150" w:left="316" w:rightChars="50" w:right="105" w:firstLineChars="200" w:firstLine="422"/>
              <w:rPr>
                <w:rFonts w:hint="eastAsia"/>
              </w:rPr>
            </w:pPr>
            <w:r>
              <w:rPr>
                <w:rFonts w:hint="eastAsia"/>
              </w:rPr>
              <w:t>犯第一項之罪，因而致人於死者，處無期徒刑或十年以上有期徒刑；致重傷者，處五年以上十二年以下有期徒刑。</w:t>
            </w:r>
          </w:p>
          <w:p w14:paraId="2F6866A7" w14:textId="77777777" w:rsidR="00EF46F0" w:rsidRDefault="00EF46F0" w:rsidP="00614E1C">
            <w:pPr>
              <w:spacing w:line="315" w:lineRule="exact"/>
              <w:ind w:leftChars="150" w:left="316" w:rightChars="50" w:right="105" w:firstLineChars="200" w:firstLine="422"/>
              <w:rPr>
                <w:rFonts w:hint="eastAsia"/>
              </w:rPr>
            </w:pPr>
            <w:r>
              <w:rPr>
                <w:rFonts w:hint="eastAsia"/>
              </w:rPr>
              <w:t>犯第二項之罪，因而致人於死者，處無期徒刑或十二年以上有期徒刑；致重傷者，處十年以上有期徒刑。</w:t>
            </w:r>
          </w:p>
          <w:p w14:paraId="5336D93A" w14:textId="77777777" w:rsidR="00EF46F0" w:rsidRDefault="00EF46F0" w:rsidP="00614E1C">
            <w:pPr>
              <w:spacing w:line="315" w:lineRule="exact"/>
              <w:ind w:leftChars="150" w:left="316" w:rightChars="50" w:right="105" w:firstLineChars="200" w:firstLine="422"/>
              <w:rPr>
                <w:rFonts w:hint="eastAsia"/>
              </w:rPr>
            </w:pPr>
            <w:r>
              <w:rPr>
                <w:rFonts w:hint="eastAsia"/>
              </w:rPr>
              <w:t>對於未滿七歲之人，犯前四項之罪者，依各該項之規定加重其刑至二分之一。</w:t>
            </w:r>
          </w:p>
        </w:tc>
        <w:tc>
          <w:tcPr>
            <w:tcW w:w="3043" w:type="dxa"/>
          </w:tcPr>
          <w:p w14:paraId="7A3867A0" w14:textId="77777777" w:rsidR="00EF46F0" w:rsidRDefault="00EF46F0" w:rsidP="00614E1C">
            <w:pPr>
              <w:spacing w:line="315" w:lineRule="exact"/>
              <w:ind w:leftChars="50" w:left="316" w:rightChars="50" w:right="105" w:hangingChars="100" w:hanging="211"/>
              <w:rPr>
                <w:rFonts w:hint="eastAsia"/>
              </w:rPr>
            </w:pPr>
            <w:r>
              <w:rPr>
                <w:rFonts w:hint="eastAsia"/>
              </w:rPr>
              <w:t>一、明確增列「長期疏忽、暴力控制、飢餓、限制自由」等常見虐待形式，使法律用語更具體清晰，反映實務上虐童行為的多樣與隱蔽特性，提升法官適用及偵辦指引之明確性。</w:t>
            </w:r>
          </w:p>
          <w:p w14:paraId="60EC51FE" w14:textId="77777777" w:rsidR="00EF46F0" w:rsidRDefault="00EF46F0" w:rsidP="00614E1C">
            <w:pPr>
              <w:spacing w:line="315" w:lineRule="exact"/>
              <w:ind w:leftChars="50" w:left="316" w:rightChars="50" w:right="105" w:hangingChars="100" w:hanging="211"/>
              <w:rPr>
                <w:rFonts w:hint="eastAsia"/>
              </w:rPr>
            </w:pPr>
            <w:r>
              <w:rPr>
                <w:rFonts w:hint="eastAsia"/>
              </w:rPr>
              <w:t>二、為統一我國兒童保護年齡標準，參照《兒童及少年福利與權益保障法》對「兒童」之定義，將原僅針對未滿七歲者加重其刑之規定，上修為未滿十二歲，以補強對高風險年齡層之保護缺口，健全兒童人權保障體系。</w:t>
            </w:r>
          </w:p>
        </w:tc>
      </w:tr>
    </w:tbl>
    <w:p w14:paraId="10F747E9" w14:textId="77777777" w:rsidR="00D22A25" w:rsidRDefault="00EF46F0" w:rsidP="00EF46F0">
      <w:pPr>
        <w:rPr>
          <w:rFonts w:hint="eastAsia"/>
        </w:rPr>
      </w:pPr>
      <w:r>
        <w:rPr>
          <w:rFonts w:hint="eastAsia"/>
        </w:rPr>
        <w:pict w14:anchorId="7548DD6D">
          <v:line id="DW4366527" o:spid="_x0000_s1026" style="position:absolute;left:0;text-align:left;z-index:251657216;mso-position-horizontal-relative:text;mso-position-vertical-relative:text" from="-2.35pt,.35pt" to="455.45pt,.35pt" strokeweight="1.5pt"/>
        </w:pict>
      </w:r>
    </w:p>
    <w:p w14:paraId="798E6BD1" w14:textId="77777777" w:rsidR="00EF46F0" w:rsidRPr="00441B24" w:rsidRDefault="00EF46F0" w:rsidP="00EF46F0">
      <w:pPr>
        <w:rPr>
          <w:rFonts w:hint="eastAsia"/>
        </w:rPr>
      </w:pPr>
    </w:p>
    <w:sectPr w:rsidR="00EF46F0" w:rsidRPr="00441B24" w:rsidSect="00EF46F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F9FB1" w14:textId="77777777" w:rsidR="00C028C7" w:rsidRDefault="00C028C7">
      <w:r>
        <w:separator/>
      </w:r>
    </w:p>
  </w:endnote>
  <w:endnote w:type="continuationSeparator" w:id="0">
    <w:p w14:paraId="61CF61DA" w14:textId="77777777" w:rsidR="00C028C7" w:rsidRDefault="00C0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5C894" w14:textId="77777777" w:rsidR="0075043D" w:rsidRPr="00AD0110" w:rsidRDefault="00AD0110" w:rsidP="00AD011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0873E" w14:textId="77777777" w:rsidR="0075043D" w:rsidRPr="00AD0110" w:rsidRDefault="00AD0110" w:rsidP="00AD011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EB73A" w14:textId="77777777" w:rsidR="00C028C7" w:rsidRDefault="00C028C7">
      <w:r>
        <w:separator/>
      </w:r>
    </w:p>
  </w:footnote>
  <w:footnote w:type="continuationSeparator" w:id="0">
    <w:p w14:paraId="49F9045A" w14:textId="77777777" w:rsidR="00C028C7" w:rsidRDefault="00C02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DDF6" w14:textId="77777777" w:rsidR="0075043D" w:rsidRPr="00AD0110" w:rsidRDefault="00AD0110" w:rsidP="00AD011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F8BB" w14:textId="77777777" w:rsidR="0075043D" w:rsidRPr="00AD0110" w:rsidRDefault="00AD0110" w:rsidP="00AD011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7980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6F0"/>
    <w:rsid w:val="00021974"/>
    <w:rsid w:val="000322E4"/>
    <w:rsid w:val="00034179"/>
    <w:rsid w:val="0006260D"/>
    <w:rsid w:val="0007483B"/>
    <w:rsid w:val="00092EFA"/>
    <w:rsid w:val="000B190B"/>
    <w:rsid w:val="000B60E7"/>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D051D"/>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6E63"/>
    <w:rsid w:val="0042704C"/>
    <w:rsid w:val="0044045C"/>
    <w:rsid w:val="00441B24"/>
    <w:rsid w:val="00443AB2"/>
    <w:rsid w:val="00453F8A"/>
    <w:rsid w:val="00473B4E"/>
    <w:rsid w:val="00485C17"/>
    <w:rsid w:val="004C459D"/>
    <w:rsid w:val="004D78BA"/>
    <w:rsid w:val="004E74DF"/>
    <w:rsid w:val="004F17A8"/>
    <w:rsid w:val="00512DE0"/>
    <w:rsid w:val="00542984"/>
    <w:rsid w:val="00552448"/>
    <w:rsid w:val="00572D70"/>
    <w:rsid w:val="00595F65"/>
    <w:rsid w:val="005B1DB0"/>
    <w:rsid w:val="00614E1C"/>
    <w:rsid w:val="00632430"/>
    <w:rsid w:val="00655703"/>
    <w:rsid w:val="006873C4"/>
    <w:rsid w:val="006B2CB0"/>
    <w:rsid w:val="006C7F9F"/>
    <w:rsid w:val="006D7D23"/>
    <w:rsid w:val="006E2402"/>
    <w:rsid w:val="006E3C20"/>
    <w:rsid w:val="006F10CF"/>
    <w:rsid w:val="006F5861"/>
    <w:rsid w:val="00722A05"/>
    <w:rsid w:val="00732BD2"/>
    <w:rsid w:val="00735FD8"/>
    <w:rsid w:val="0075043D"/>
    <w:rsid w:val="007776A4"/>
    <w:rsid w:val="00781901"/>
    <w:rsid w:val="00782F7F"/>
    <w:rsid w:val="007908D5"/>
    <w:rsid w:val="00794FA3"/>
    <w:rsid w:val="007A1C27"/>
    <w:rsid w:val="007A4599"/>
    <w:rsid w:val="007C4084"/>
    <w:rsid w:val="007D04A0"/>
    <w:rsid w:val="007E74DC"/>
    <w:rsid w:val="007F7A16"/>
    <w:rsid w:val="0081304F"/>
    <w:rsid w:val="00840582"/>
    <w:rsid w:val="00861B21"/>
    <w:rsid w:val="00863C32"/>
    <w:rsid w:val="00864C67"/>
    <w:rsid w:val="00883D74"/>
    <w:rsid w:val="00896391"/>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50A6E"/>
    <w:rsid w:val="00A63E2C"/>
    <w:rsid w:val="00A678DC"/>
    <w:rsid w:val="00A80A44"/>
    <w:rsid w:val="00A86BD4"/>
    <w:rsid w:val="00A876DC"/>
    <w:rsid w:val="00AA2ADF"/>
    <w:rsid w:val="00AB6BDB"/>
    <w:rsid w:val="00AC692A"/>
    <w:rsid w:val="00AC6A09"/>
    <w:rsid w:val="00AD0110"/>
    <w:rsid w:val="00AD6810"/>
    <w:rsid w:val="00AF1CCC"/>
    <w:rsid w:val="00B15BB5"/>
    <w:rsid w:val="00B278AB"/>
    <w:rsid w:val="00B40364"/>
    <w:rsid w:val="00BA5E5B"/>
    <w:rsid w:val="00BA71D7"/>
    <w:rsid w:val="00BB5684"/>
    <w:rsid w:val="00BD06CC"/>
    <w:rsid w:val="00BE0A55"/>
    <w:rsid w:val="00BF63AF"/>
    <w:rsid w:val="00C028C7"/>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C1B8E"/>
    <w:rsid w:val="00ED580D"/>
    <w:rsid w:val="00ED5C0E"/>
    <w:rsid w:val="00ED5E9D"/>
    <w:rsid w:val="00EF46F0"/>
    <w:rsid w:val="00F1464A"/>
    <w:rsid w:val="00F30B58"/>
    <w:rsid w:val="00F43F10"/>
    <w:rsid w:val="00F474B2"/>
    <w:rsid w:val="00F61EC1"/>
    <w:rsid w:val="00F71E07"/>
    <w:rsid w:val="00F82284"/>
    <w:rsid w:val="00F85C4D"/>
    <w:rsid w:val="00F92C63"/>
    <w:rsid w:val="00FA2348"/>
    <w:rsid w:val="00FD2443"/>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0550053"/>
  <w15:chartTrackingRefBased/>
  <w15:docId w15:val="{F7FABCC5-6D7B-4CC8-A29E-948C4844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11;3;17</cp:keywords>
  <dc:description>委11;委14;4;議案202110133570000;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