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7D428" w14:textId="77777777" w:rsidR="00907F3C" w:rsidRPr="006C0248" w:rsidRDefault="00B97723" w:rsidP="00907F3C">
      <w:pPr>
        <w:spacing w:afterLines="50" w:after="167"/>
        <w:rPr>
          <w:rFonts w:hint="eastAsia"/>
        </w:rPr>
      </w:pPr>
      <w:r w:rsidRPr="006C0248">
        <w:pict w14:anchorId="6E89B8E4">
          <v:shapetype id="_x0000_t202" coordsize="21600,21600" o:spt="202" path="m,l,21600r21600,l21600,xe">
            <v:stroke joinstyle="miter"/>
            <v:path gradientshapeok="t" o:connecttype="rect"/>
          </v:shapetype>
          <v:shape id="_x0000_s1069" type="#_x0000_t202" style="position:absolute;left:0;text-align:left;margin-left:-.65pt;margin-top:-24.8pt;width:100.8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" filled="f" strokeweight="1pt">
            <v:textbox>
              <w:txbxContent>
                <w:p w14:paraId="37D2567B" w14:textId="77777777" w:rsidR="00B97723" w:rsidRDefault="00B97723">
                  <w:pPr>
                    <w:spacing w:line="340" w:lineRule="exact"/>
                    <w:rPr>
                      <w:rFonts w:ascii="華康細明體"/>
                      <w:sz w:val="28"/>
                    </w:rPr>
                  </w:pPr>
                  <w:r>
                    <w:rPr>
                      <w:rFonts w:ascii="華康細明體" w:hint="eastAsia"/>
                      <w:sz w:val="28"/>
                    </w:rPr>
                    <w:t>第二次更正本</w:t>
                  </w:r>
                </w:p>
              </w:txbxContent>
            </v:textbox>
            <w10:anchorlock/>
          </v:shape>
        </w:pict>
      </w:r>
      <w:r w:rsidR="00907F3C" w:rsidRPr="006C0248">
        <w:rPr>
          <w:rFonts w:hint="eastAsia"/>
        </w:rPr>
        <w:t xml:space="preserve">　　　　　　　　　　　　　　　　　　　　　　　　　　　　　</w:t>
      </w:r>
      <w:r w:rsidR="00414D0F" w:rsidRPr="006C0248">
        <w:rPr>
          <w:rFonts w:hint="eastAsia"/>
        </w:rPr>
        <w:t>議案編號：</w:t>
      </w:r>
      <w:r w:rsidR="00414D0F" w:rsidRPr="006C0248">
        <w:rPr>
          <w:rFonts w:hint="eastAsia"/>
        </w:rPr>
        <w:t>202110033950000</w:t>
      </w:r>
    </w:p>
    <w:p w14:paraId="5CA2C73D" w14:textId="77777777" w:rsidR="00907F3C" w:rsidRPr="006C0248" w:rsidRDefault="00907F3C" w:rsidP="00907F3C">
      <w:pPr>
        <w:snapToGrid w:val="0"/>
        <w:ind w:leftChars="400" w:left="844"/>
        <w:rPr>
          <w:rFonts w:ascii="細明體" w:hAnsi="細明體" w:hint="eastAsia"/>
        </w:rPr>
      </w:pPr>
      <w:r w:rsidRPr="006C0248">
        <w:rPr>
          <w:rFonts w:eastAsia="標楷體" w:hint="eastAsia"/>
          <w:kern w:val="0"/>
          <w:sz w:val="42"/>
        </w:rPr>
        <w:t>立法院議案關係文書</w:t>
      </w:r>
      <w:r w:rsidRPr="006C0248">
        <w:rPr>
          <w:rFonts w:hint="eastAsia"/>
        </w:rPr>
        <w:t xml:space="preserve">　</w:t>
      </w:r>
      <w:r w:rsidR="00B97723" w:rsidRPr="006C0248">
        <w:rPr>
          <w:rFonts w:ascii="細明體" w:hAnsi="細明體"/>
        </w:rPr>
        <w:fldChar w:fldCharType="begin"/>
      </w:r>
      <w:r w:rsidR="00B97723" w:rsidRPr="006C0248">
        <w:rPr>
          <w:rFonts w:ascii="細明體" w:hAnsi="細明體"/>
        </w:rPr>
        <w:instrText xml:space="preserve"> </w:instrText>
      </w:r>
      <w:r w:rsidR="00B97723" w:rsidRPr="006C0248">
        <w:rPr>
          <w:rFonts w:ascii="細明體" w:hAnsi="細明體" w:hint="eastAsia"/>
        </w:rPr>
        <w:instrText>eq \o\ad(\s\up5(（中華民國41年9月起編號）),\s\do5(中華民國113年7月1日印發))</w:instrText>
      </w:r>
      <w:r w:rsidR="00B97723" w:rsidRPr="006C0248">
        <w:rPr>
          <w:rFonts w:ascii="細明體" w:hAnsi="細明體"/>
        </w:rPr>
        <w:fldChar w:fldCharType="end"/>
      </w:r>
    </w:p>
    <w:p w14:paraId="6BC25EA7" w14:textId="77777777" w:rsidR="00907F3C" w:rsidRPr="006C0248" w:rsidRDefault="00907F3C" w:rsidP="00907F3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07F3C" w:rsidRPr="006C0248" w14:paraId="7DC6D94C" w14:textId="77777777" w:rsidTr="00306DA9">
        <w:tc>
          <w:tcPr>
            <w:tcW w:w="0" w:type="auto"/>
            <w:vAlign w:val="center"/>
          </w:tcPr>
          <w:p w14:paraId="1AB6114D" w14:textId="77777777" w:rsidR="00907F3C" w:rsidRPr="006C0248" w:rsidRDefault="00907F3C" w:rsidP="00306DA9">
            <w:pPr>
              <w:pStyle w:val="affff"/>
              <w:rPr>
                <w:rFonts w:hint="eastAsia"/>
              </w:rPr>
            </w:pPr>
            <w:r w:rsidRPr="006C0248">
              <w:rPr>
                <w:rFonts w:hint="eastAsia"/>
              </w:rPr>
              <w:t>院總第</w:t>
            </w:r>
            <w:r w:rsidRPr="006C0248">
              <w:rPr>
                <w:rFonts w:hint="eastAsia"/>
              </w:rPr>
              <w:t>20</w:t>
            </w:r>
            <w:r w:rsidRPr="006C0248">
              <w:rPr>
                <w:rFonts w:hint="eastAsia"/>
              </w:rPr>
              <w:t>號</w:t>
            </w:r>
          </w:p>
        </w:tc>
        <w:tc>
          <w:tcPr>
            <w:tcW w:w="0" w:type="auto"/>
            <w:vAlign w:val="center"/>
          </w:tcPr>
          <w:p w14:paraId="55C26859" w14:textId="77777777" w:rsidR="00907F3C" w:rsidRPr="006C0248" w:rsidRDefault="00907F3C" w:rsidP="00306DA9">
            <w:pPr>
              <w:pStyle w:val="affff5"/>
              <w:ind w:leftChars="200" w:left="422"/>
              <w:rPr>
                <w:rFonts w:hint="eastAsia"/>
              </w:rPr>
            </w:pPr>
            <w:r w:rsidRPr="006C0248">
              <w:rPr>
                <w:rFonts w:hint="eastAsia"/>
              </w:rPr>
              <w:t>委員</w:t>
            </w:r>
          </w:p>
        </w:tc>
        <w:tc>
          <w:tcPr>
            <w:tcW w:w="0" w:type="auto"/>
            <w:vAlign w:val="center"/>
          </w:tcPr>
          <w:p w14:paraId="1E2A1313" w14:textId="77777777" w:rsidR="00907F3C" w:rsidRPr="006C0248" w:rsidRDefault="00907F3C" w:rsidP="00306DA9">
            <w:pPr>
              <w:pStyle w:val="affff5"/>
              <w:rPr>
                <w:rFonts w:hint="eastAsia"/>
              </w:rPr>
            </w:pPr>
            <w:r w:rsidRPr="006C0248">
              <w:rPr>
                <w:rFonts w:hint="eastAsia"/>
              </w:rPr>
              <w:t>提案第</w:t>
            </w:r>
          </w:p>
        </w:tc>
        <w:tc>
          <w:tcPr>
            <w:tcW w:w="0" w:type="auto"/>
            <w:tcMar>
              <w:left w:w="113" w:type="dxa"/>
              <w:right w:w="113" w:type="dxa"/>
            </w:tcMar>
            <w:vAlign w:val="center"/>
          </w:tcPr>
          <w:p w14:paraId="4F2A733A" w14:textId="77777777" w:rsidR="00907F3C" w:rsidRPr="006C0248" w:rsidRDefault="00907F3C" w:rsidP="00306DA9">
            <w:pPr>
              <w:pStyle w:val="affff5"/>
              <w:jc w:val="distribute"/>
              <w:rPr>
                <w:rFonts w:hint="eastAsia"/>
              </w:rPr>
            </w:pPr>
            <w:r w:rsidRPr="006C0248">
              <w:t>11003395</w:t>
            </w:r>
          </w:p>
        </w:tc>
        <w:tc>
          <w:tcPr>
            <w:tcW w:w="0" w:type="auto"/>
            <w:vAlign w:val="center"/>
          </w:tcPr>
          <w:p w14:paraId="2A93622C" w14:textId="77777777" w:rsidR="00907F3C" w:rsidRPr="006C0248" w:rsidRDefault="00907F3C" w:rsidP="00306DA9">
            <w:pPr>
              <w:pStyle w:val="affff5"/>
              <w:rPr>
                <w:rFonts w:hint="eastAsia"/>
              </w:rPr>
            </w:pPr>
            <w:r w:rsidRPr="006C0248">
              <w:rPr>
                <w:rFonts w:hint="eastAsia"/>
              </w:rPr>
              <w:t>號</w:t>
            </w:r>
          </w:p>
        </w:tc>
        <w:tc>
          <w:tcPr>
            <w:tcW w:w="0" w:type="auto"/>
            <w:vAlign w:val="center"/>
          </w:tcPr>
          <w:p w14:paraId="7329ED40" w14:textId="77777777" w:rsidR="00907F3C" w:rsidRPr="006C0248" w:rsidRDefault="00907F3C" w:rsidP="00306DA9">
            <w:pPr>
              <w:pStyle w:val="affff5"/>
              <w:rPr>
                <w:rFonts w:hint="eastAsia"/>
              </w:rPr>
            </w:pPr>
          </w:p>
        </w:tc>
        <w:tc>
          <w:tcPr>
            <w:tcW w:w="0" w:type="auto"/>
            <w:tcMar>
              <w:left w:w="113" w:type="dxa"/>
            </w:tcMar>
            <w:vAlign w:val="center"/>
          </w:tcPr>
          <w:p w14:paraId="2A7FA417" w14:textId="77777777" w:rsidR="00907F3C" w:rsidRPr="006C0248" w:rsidRDefault="00907F3C" w:rsidP="00306DA9">
            <w:pPr>
              <w:pStyle w:val="affff5"/>
              <w:rPr>
                <w:rFonts w:hint="eastAsia"/>
              </w:rPr>
            </w:pPr>
          </w:p>
        </w:tc>
      </w:tr>
    </w:tbl>
    <w:p w14:paraId="508B3BBC" w14:textId="77777777" w:rsidR="00907F3C" w:rsidRPr="006C0248" w:rsidRDefault="00907F3C" w:rsidP="00907F3C">
      <w:pPr>
        <w:pStyle w:val="afb"/>
        <w:spacing w:line="600" w:lineRule="exact"/>
        <w:ind w:left="1382" w:hanging="855"/>
        <w:rPr>
          <w:rFonts w:hint="eastAsia"/>
        </w:rPr>
      </w:pPr>
    </w:p>
    <w:p w14:paraId="087F7058" w14:textId="77777777" w:rsidR="00907F3C" w:rsidRPr="006C0248" w:rsidRDefault="00907F3C" w:rsidP="00907F3C">
      <w:pPr>
        <w:pStyle w:val="afb"/>
        <w:ind w:left="1382" w:hanging="855"/>
        <w:rPr>
          <w:rFonts w:hint="eastAsia"/>
        </w:rPr>
      </w:pPr>
      <w:r w:rsidRPr="006C0248">
        <w:rPr>
          <w:rFonts w:hint="eastAsia"/>
        </w:rPr>
        <w:t>案由：</w:t>
      </w:r>
      <w:r w:rsidRPr="006C0248">
        <w:rPr>
          <w:rFonts w:hint="eastAsia"/>
          <w:spacing w:val="0"/>
        </w:rPr>
        <w:t>本院委員高金素梅、鄭天財</w:t>
      </w:r>
      <w:r w:rsidRPr="006C0248">
        <w:rPr>
          <w:rFonts w:hint="eastAsia"/>
          <w:spacing w:val="0"/>
        </w:rPr>
        <w:t>Sra Kacaw</w:t>
      </w:r>
      <w:r w:rsidRPr="006C0248">
        <w:rPr>
          <w:rFonts w:hint="eastAsia"/>
          <w:spacing w:val="0"/>
        </w:rPr>
        <w:t>、陳超明</w:t>
      </w:r>
      <w:r w:rsidR="00950426" w:rsidRPr="006C0248">
        <w:rPr>
          <w:rFonts w:hint="eastAsia"/>
          <w:spacing w:val="0"/>
        </w:rPr>
        <w:t>、</w:t>
      </w:r>
      <w:r w:rsidR="00950426" w:rsidRPr="006C0248">
        <w:rPr>
          <w:rFonts w:ascii="細明體" w:hAnsi="細明體" w:hint="eastAsia"/>
          <w:spacing w:val="0"/>
          <w:szCs w:val="21"/>
        </w:rPr>
        <w:t>伍麗</w:t>
      </w:r>
      <w:r w:rsidR="00950426" w:rsidRPr="006C0248">
        <w:rPr>
          <w:rFonts w:ascii="細明體" w:hAnsi="細明體" w:hint="eastAsia"/>
          <w:spacing w:val="-20"/>
          <w:szCs w:val="21"/>
        </w:rPr>
        <w:t>華</w:t>
      </w:r>
      <w:r w:rsidR="00950426" w:rsidRPr="006C0248">
        <w:rPr>
          <w:rFonts w:hint="eastAsia"/>
          <w:spacing w:val="0"/>
        </w:rPr>
        <w:t>Saidhai Tahovecahe</w:t>
      </w:r>
      <w:r w:rsidRPr="006C0248">
        <w:rPr>
          <w:rFonts w:hint="eastAsia"/>
          <w:spacing w:val="6"/>
        </w:rPr>
        <w:t>等</w:t>
      </w:r>
      <w:r w:rsidR="00950426" w:rsidRPr="006C0248">
        <w:rPr>
          <w:rFonts w:hint="eastAsia"/>
          <w:spacing w:val="6"/>
        </w:rPr>
        <w:t>2</w:t>
      </w:r>
      <w:r w:rsidR="00CB1155" w:rsidRPr="006C0248">
        <w:rPr>
          <w:rFonts w:hint="eastAsia"/>
          <w:spacing w:val="6"/>
        </w:rPr>
        <w:t>3</w:t>
      </w:r>
      <w:r w:rsidRPr="006C0248">
        <w:rPr>
          <w:rFonts w:hint="eastAsia"/>
          <w:spacing w:val="6"/>
        </w:rPr>
        <w:t>人，鑒於原住民立法委員選舉乃</w:t>
      </w:r>
      <w:r w:rsidRPr="006C0248">
        <w:rPr>
          <w:rFonts w:hint="eastAsia"/>
          <w:spacing w:val="0"/>
        </w:rPr>
        <w:t>是憲</w:t>
      </w:r>
      <w:r w:rsidRPr="006C0248">
        <w:rPr>
          <w:rFonts w:hint="eastAsia"/>
          <w:spacing w:val="6"/>
        </w:rPr>
        <w:t>法增修條文第四條賦予原住民族額外保障，應於目前選</w:t>
      </w:r>
      <w:r w:rsidRPr="006C0248">
        <w:rPr>
          <w:rFonts w:hint="eastAsia"/>
          <w:spacing w:val="0"/>
        </w:rPr>
        <w:t>舉制</w:t>
      </w:r>
      <w:r w:rsidRPr="006C0248">
        <w:rPr>
          <w:rFonts w:hint="eastAsia"/>
          <w:spacing w:val="6"/>
        </w:rPr>
        <w:t>度增加妥適的保障。目前公職人員選舉罷免法限制原住</w:t>
      </w:r>
      <w:r w:rsidRPr="006C0248">
        <w:rPr>
          <w:rFonts w:hint="eastAsia"/>
          <w:spacing w:val="0"/>
        </w:rPr>
        <w:t>民選舉權的陳年陋習，乃忽略我國立法委員選舉制度已自第七屆選</w:t>
      </w:r>
      <w:r w:rsidRPr="006C0248">
        <w:rPr>
          <w:rFonts w:hint="eastAsia"/>
          <w:spacing w:val="-6"/>
        </w:rPr>
        <w:t>舉產生政策變化，將區域立委變更為單一選區制，達到更反</w:t>
      </w:r>
      <w:r w:rsidRPr="006C0248">
        <w:rPr>
          <w:rFonts w:hint="eastAsia"/>
          <w:spacing w:val="0"/>
        </w:rPr>
        <w:t>映民情的宗旨，亦規範遺任任期達一年以上可進行補選。惟立委補</w:t>
      </w:r>
      <w:r w:rsidRPr="006C0248">
        <w:rPr>
          <w:rFonts w:hint="eastAsia"/>
          <w:spacing w:val="-6"/>
        </w:rPr>
        <w:t>選的條款，僅適用一般選區，原住民選區並無此等保障參政</w:t>
      </w:r>
      <w:r w:rsidRPr="006C0248">
        <w:rPr>
          <w:rFonts w:hint="eastAsia"/>
          <w:spacing w:val="0"/>
        </w:rPr>
        <w:t>權的條款，反而要求需達到應選名額一定比例，才可進行補選，顯</w:t>
      </w:r>
      <w:r w:rsidRPr="006C0248">
        <w:rPr>
          <w:rFonts w:hint="eastAsia"/>
          <w:spacing w:val="6"/>
        </w:rPr>
        <w:t>不合理。基於「相同事情相同處理，不同事情不同處理</w:t>
      </w:r>
      <w:r w:rsidRPr="006C0248">
        <w:rPr>
          <w:rFonts w:hint="eastAsia"/>
          <w:spacing w:val="0"/>
        </w:rPr>
        <w:t>」原則，理應統一相關補選規範，爰擬具「公職人員選舉罷免法第</w:t>
      </w:r>
      <w:r w:rsidRPr="006C0248">
        <w:rPr>
          <w:rFonts w:hint="eastAsia"/>
          <w:spacing w:val="6"/>
        </w:rPr>
        <w:t>七十條、第七十一條及第七十三條條文修正草案」。是</w:t>
      </w:r>
      <w:r w:rsidRPr="006C0248">
        <w:rPr>
          <w:rFonts w:hint="eastAsia"/>
          <w:spacing w:val="0"/>
        </w:rPr>
        <w:t>否有當？敬請公決。</w:t>
      </w:r>
    </w:p>
    <w:p w14:paraId="1C0599AB" w14:textId="77777777" w:rsidR="00907F3C" w:rsidRPr="006C0248" w:rsidRDefault="00907F3C" w:rsidP="00907F3C">
      <w:pPr>
        <w:pStyle w:val="afb"/>
        <w:ind w:left="1382" w:hanging="855"/>
        <w:rPr>
          <w:rFonts w:hint="eastAsia"/>
        </w:rPr>
      </w:pPr>
    </w:p>
    <w:p w14:paraId="1DE4E35B" w14:textId="77777777" w:rsidR="00907F3C" w:rsidRPr="006C0248" w:rsidRDefault="00907F3C" w:rsidP="00907F3C">
      <w:pPr>
        <w:rPr>
          <w:rFonts w:hint="eastAsia"/>
        </w:rPr>
      </w:pPr>
    </w:p>
    <w:p w14:paraId="70F2D04E" w14:textId="77777777" w:rsidR="00907F3C" w:rsidRPr="006C0248" w:rsidRDefault="00907F3C" w:rsidP="00907F3C">
      <w:pPr>
        <w:pStyle w:val="-"/>
        <w:ind w:left="3165" w:right="633" w:hanging="844"/>
        <w:rPr>
          <w:rFonts w:hint="eastAsia"/>
        </w:rPr>
      </w:pPr>
      <w:r w:rsidRPr="006C0248">
        <w:rPr>
          <w:rFonts w:hint="eastAsia"/>
        </w:rPr>
        <w:t>提案人：高金素梅　鄭天財</w:t>
      </w:r>
      <w:r w:rsidRPr="006C0248">
        <w:rPr>
          <w:rFonts w:hint="eastAsia"/>
        </w:rPr>
        <w:t>Sra Kacaw</w:t>
      </w:r>
      <w:r w:rsidRPr="006C0248">
        <w:rPr>
          <w:rFonts w:hint="eastAsia"/>
        </w:rPr>
        <w:t xml:space="preserve">　　</w:t>
      </w:r>
      <w:r w:rsidRPr="006C0248">
        <w:rPr>
          <w:rFonts w:hint="eastAsia"/>
          <w:sz w:val="8"/>
        </w:rPr>
        <w:t xml:space="preserve">　</w:t>
      </w:r>
      <w:r w:rsidRPr="006C0248">
        <w:rPr>
          <w:rFonts w:hint="eastAsia"/>
        </w:rPr>
        <w:t xml:space="preserve">陳超明　　</w:t>
      </w:r>
      <w:r w:rsidR="00950426" w:rsidRPr="006C0248">
        <w:rPr>
          <w:rFonts w:hint="eastAsia"/>
        </w:rPr>
        <w:t xml:space="preserve">　　　　　伍麗華</w:t>
      </w:r>
      <w:r w:rsidR="00950426" w:rsidRPr="006C0248">
        <w:rPr>
          <w:rFonts w:hint="eastAsia"/>
        </w:rPr>
        <w:t>Saidhai Tahovecahe</w:t>
      </w:r>
      <w:r w:rsidR="00950426" w:rsidRPr="006C0248">
        <w:rPr>
          <w:rFonts w:hint="eastAsia"/>
        </w:rPr>
        <w:t xml:space="preserve">　　　　</w:t>
      </w:r>
    </w:p>
    <w:p w14:paraId="2E2E2DA8" w14:textId="77777777" w:rsidR="00907F3C" w:rsidRPr="006C0248" w:rsidRDefault="00907F3C" w:rsidP="00907F3C">
      <w:pPr>
        <w:pStyle w:val="-"/>
        <w:ind w:left="3165" w:right="633" w:hanging="844"/>
        <w:rPr>
          <w:rFonts w:hint="eastAsia"/>
        </w:rPr>
      </w:pPr>
      <w:r w:rsidRPr="006C0248">
        <w:rPr>
          <w:rFonts w:hint="eastAsia"/>
        </w:rPr>
        <w:t xml:space="preserve">連署人：徐欣瑩　　賴士葆　　邱鎮軍　　洪孟楷　　林思銘　　牛煦庭　　麥玉珍　　翁曉玲　　林倩綺　　廖先翔　　馬文君　　蘇清泉　　顏寬恒　　</w:t>
      </w:r>
      <w:r w:rsidR="006A66B2" w:rsidRPr="006C0248">
        <w:rPr>
          <w:rFonts w:hint="eastAsia"/>
        </w:rPr>
        <w:t xml:space="preserve">林沛祥　　羅廷瑋　　羅智強　　陳永康　　林德福　　</w:t>
      </w:r>
      <w:r w:rsidR="00CB1155" w:rsidRPr="006C0248">
        <w:rPr>
          <w:rFonts w:hint="eastAsia"/>
        </w:rPr>
        <w:t xml:space="preserve">游　顥　　</w:t>
      </w:r>
    </w:p>
    <w:p w14:paraId="3C9A6078" w14:textId="77777777" w:rsidR="00907F3C" w:rsidRPr="006C0248" w:rsidRDefault="00907F3C" w:rsidP="00907F3C">
      <w:pPr>
        <w:sectPr w:rsidR="00907F3C" w:rsidRPr="006C0248" w:rsidSect="00A766B4">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5"/>
          <w:cols w:space="720"/>
          <w:docGrid w:type="linesAndChars" w:linePitch="335" w:charSpace="200"/>
        </w:sectPr>
      </w:pPr>
    </w:p>
    <w:p w14:paraId="0973BEA7" w14:textId="77777777" w:rsidR="00907F3C" w:rsidRPr="006C0248" w:rsidRDefault="00907F3C" w:rsidP="00907F3C">
      <w:pPr>
        <w:spacing w:line="14" w:lineRule="exact"/>
        <w:sectPr w:rsidR="00907F3C" w:rsidRPr="006C0248" w:rsidSect="00907F3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07F3C" w:rsidRPr="006C0248" w14:paraId="3346D494" w14:textId="77777777" w:rsidTr="00306DA9">
        <w:tc>
          <w:tcPr>
            <w:tcW w:w="9128" w:type="dxa"/>
            <w:gridSpan w:val="3"/>
            <w:tcBorders>
              <w:top w:val="nil"/>
              <w:left w:val="nil"/>
              <w:bottom w:val="nil"/>
              <w:right w:val="nil"/>
            </w:tcBorders>
          </w:tcPr>
          <w:p w14:paraId="3865C517" w14:textId="77777777" w:rsidR="00907F3C" w:rsidRPr="006C0248" w:rsidRDefault="00907F3C" w:rsidP="00306DA9">
            <w:pPr>
              <w:spacing w:before="105" w:after="105" w:line="480" w:lineRule="exact"/>
              <w:ind w:leftChars="500" w:left="1055"/>
              <w:rPr>
                <w:rFonts w:ascii="標楷體" w:eastAsia="標楷體" w:hAnsi="標楷體" w:hint="eastAsia"/>
                <w:sz w:val="28"/>
              </w:rPr>
            </w:pPr>
            <w:r w:rsidRPr="006C0248">
              <w:rPr>
                <w:rFonts w:ascii="標楷體" w:eastAsia="標楷體" w:hAnsi="標楷體"/>
                <w:sz w:val="28"/>
              </w:rPr>
              <w:br w:type="page"/>
            </w:r>
            <w:r w:rsidRPr="006C0248">
              <w:rPr>
                <w:rFonts w:ascii="標楷體" w:eastAsia="標楷體" w:hAnsi="標楷體"/>
                <w:spacing w:val="-4"/>
                <w:sz w:val="28"/>
              </w:rPr>
              <w:t>公職人員選舉罷免法第七十條、第七十一條及第七十三條條文修</w:t>
            </w:r>
            <w:r w:rsidRPr="006C0248">
              <w:rPr>
                <w:rFonts w:ascii="標楷體" w:eastAsia="標楷體" w:hAnsi="標楷體"/>
                <w:sz w:val="28"/>
              </w:rPr>
              <w:t>正草案對照表</w:t>
            </w:r>
            <w:bookmarkStart w:id="0" w:name="TA8947028"/>
            <w:bookmarkEnd w:id="0"/>
          </w:p>
        </w:tc>
      </w:tr>
      <w:tr w:rsidR="00907F3C" w:rsidRPr="006C0248" w14:paraId="752D4315" w14:textId="77777777" w:rsidTr="00306DA9">
        <w:tc>
          <w:tcPr>
            <w:tcW w:w="3042" w:type="dxa"/>
            <w:tcBorders>
              <w:top w:val="nil"/>
            </w:tcBorders>
          </w:tcPr>
          <w:p w14:paraId="3F5607B5" w14:textId="77777777" w:rsidR="00907F3C" w:rsidRPr="006C0248" w:rsidRDefault="003156BB" w:rsidP="00306DA9">
            <w:pPr>
              <w:pStyle w:val="aff8"/>
              <w:ind w:left="105" w:right="105"/>
              <w:rPr>
                <w:rFonts w:hint="eastAsia"/>
              </w:rPr>
            </w:pPr>
            <w:r w:rsidRPr="006C0248">
              <w:rPr>
                <w:rFonts w:hint="eastAsia"/>
              </w:rPr>
              <w:pict w14:anchorId="3486EB81">
                <v:line id="DW9002168" o:spid="_x0000_s1067" style="position:absolute;left:0;text-align:left;z-index:251657728;mso-position-horizontal-relative:text;mso-position-vertical-relative:text" from="-2pt,-.7pt" to="455.8pt,-.7pt" strokeweight="1.5pt"/>
              </w:pict>
            </w:r>
            <w:r w:rsidR="00907F3C" w:rsidRPr="006C0248">
              <w:rPr>
                <w:rFonts w:hint="eastAsia"/>
              </w:rPr>
              <w:t>修正條文</w:t>
            </w:r>
          </w:p>
        </w:tc>
        <w:tc>
          <w:tcPr>
            <w:tcW w:w="3043" w:type="dxa"/>
            <w:tcBorders>
              <w:top w:val="nil"/>
            </w:tcBorders>
          </w:tcPr>
          <w:p w14:paraId="627291B4" w14:textId="77777777" w:rsidR="00907F3C" w:rsidRPr="006C0248" w:rsidRDefault="00907F3C" w:rsidP="00306DA9">
            <w:pPr>
              <w:pStyle w:val="aff8"/>
              <w:ind w:left="105" w:right="105"/>
              <w:rPr>
                <w:rFonts w:hint="eastAsia"/>
              </w:rPr>
            </w:pPr>
            <w:r w:rsidRPr="006C0248">
              <w:rPr>
                <w:rFonts w:hint="eastAsia"/>
              </w:rPr>
              <w:t>現行條文</w:t>
            </w:r>
          </w:p>
        </w:tc>
        <w:tc>
          <w:tcPr>
            <w:tcW w:w="3043" w:type="dxa"/>
            <w:tcBorders>
              <w:top w:val="nil"/>
            </w:tcBorders>
          </w:tcPr>
          <w:p w14:paraId="604C9642" w14:textId="77777777" w:rsidR="00907F3C" w:rsidRPr="006C0248" w:rsidRDefault="00907F3C" w:rsidP="00306DA9">
            <w:pPr>
              <w:pStyle w:val="aff8"/>
              <w:ind w:left="105" w:right="105"/>
              <w:rPr>
                <w:rFonts w:hint="eastAsia"/>
              </w:rPr>
            </w:pPr>
            <w:r w:rsidRPr="006C0248">
              <w:rPr>
                <w:rFonts w:hint="eastAsia"/>
              </w:rPr>
              <w:t>說明</w:t>
            </w:r>
          </w:p>
        </w:tc>
      </w:tr>
      <w:tr w:rsidR="00907F3C" w:rsidRPr="006C0248" w14:paraId="0759DACF" w14:textId="77777777" w:rsidTr="00306DA9">
        <w:tc>
          <w:tcPr>
            <w:tcW w:w="3042" w:type="dxa"/>
          </w:tcPr>
          <w:p w14:paraId="6473660D"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第七十條　候選人數未超過或不足各該選舉區應選出之名額時，以所得票數達下列規定以上者，始為當選。但村（里）長選舉不在此限：</w:t>
            </w:r>
          </w:p>
          <w:p w14:paraId="3A1EF071"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一、區域立法委員、直轄市長、縣（市）長、鄉（鎮、市）長</w:t>
            </w:r>
            <w:r w:rsidR="00B97723" w:rsidRPr="006C0248">
              <w:rPr>
                <w:rFonts w:hint="eastAsia"/>
              </w:rPr>
              <w:t>、原住民區長</w:t>
            </w:r>
            <w:r w:rsidRPr="006C0248">
              <w:rPr>
                <w:rFonts w:hint="eastAsia"/>
              </w:rPr>
              <w:t>選舉，為各該選舉區選舉人總數百分之二十。</w:t>
            </w:r>
          </w:p>
          <w:p w14:paraId="4FFAF238"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二、原住民立法委員、直轄市議員、縣（市）議員、鄉（鎮、市）民代表</w:t>
            </w:r>
            <w:r w:rsidR="00B97723" w:rsidRPr="006C0248">
              <w:rPr>
                <w:rFonts w:hint="eastAsia"/>
              </w:rPr>
              <w:t>、原住民區民代表</w:t>
            </w:r>
            <w:r w:rsidRPr="006C0248">
              <w:rPr>
                <w:rFonts w:hint="eastAsia"/>
              </w:rPr>
              <w:t>選舉，為各該選舉區應選出之名額除該選舉區選舉人總數所得商數百分之十。</w:t>
            </w:r>
          </w:p>
          <w:p w14:paraId="692B4002"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前</w:t>
            </w:r>
            <w:r w:rsidRPr="006C0248">
              <w:rPr>
                <w:rFonts w:hint="eastAsia"/>
                <w:spacing w:val="2"/>
                <w:kern w:val="0"/>
              </w:rPr>
              <w:t>項選舉結果未能當選或當選不足應選出之名額時，區域立法委員、</w:t>
            </w:r>
            <w:r w:rsidRPr="006C0248">
              <w:rPr>
                <w:rFonts w:hint="eastAsia"/>
                <w:spacing w:val="2"/>
                <w:kern w:val="0"/>
                <w:u w:val="single"/>
              </w:rPr>
              <w:t>原住民立法委員</w:t>
            </w:r>
            <w:r w:rsidRPr="006C0248">
              <w:rPr>
                <w:rFonts w:hint="eastAsia"/>
                <w:spacing w:val="2"/>
                <w:kern w:val="0"/>
              </w:rPr>
              <w:t>、直轄市長、縣（市）長、鄉（鎮、市）長</w:t>
            </w:r>
            <w:r w:rsidR="00B97723" w:rsidRPr="006C0248">
              <w:rPr>
                <w:rFonts w:hint="eastAsia"/>
              </w:rPr>
              <w:t>、原住民區長</w:t>
            </w:r>
            <w:r w:rsidRPr="006C0248">
              <w:rPr>
                <w:rFonts w:hint="eastAsia"/>
              </w:rPr>
              <w:t>，應自投票之日起三個月內完成重行選舉投票；直轄市議員、縣（市）議員、鄉（鎮、市）民代表</w:t>
            </w:r>
            <w:r w:rsidR="00B97723" w:rsidRPr="006C0248">
              <w:rPr>
                <w:rFonts w:hint="eastAsia"/>
              </w:rPr>
              <w:t>、原住民區民代表</w:t>
            </w:r>
            <w:r w:rsidRPr="006C0248">
              <w:rPr>
                <w:rFonts w:hint="eastAsia"/>
              </w:rPr>
              <w:t>視同缺額。同一選舉區內缺額達二分之一時，應自事實發生之日起三個月內完成補選投票。</w:t>
            </w:r>
          </w:p>
        </w:tc>
        <w:tc>
          <w:tcPr>
            <w:tcW w:w="3043" w:type="dxa"/>
          </w:tcPr>
          <w:p w14:paraId="3B437B9F"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第七十條　候選人數未超過或不足各該選舉區應選出之名額時，以所得票數達下列規定以上者，始為當選。但村（里）長選舉不在此限：</w:t>
            </w:r>
          </w:p>
          <w:p w14:paraId="26EA5602"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一、區域立法委員、直轄市長、縣（市）長、鄉（鎮、市）長</w:t>
            </w:r>
            <w:r w:rsidR="00B97723" w:rsidRPr="006C0248">
              <w:rPr>
                <w:rFonts w:hint="eastAsia"/>
              </w:rPr>
              <w:t>、原住民區長</w:t>
            </w:r>
            <w:r w:rsidRPr="006C0248">
              <w:rPr>
                <w:rFonts w:hint="eastAsia"/>
              </w:rPr>
              <w:t>選舉，為各該選舉區選舉人總數百分之二十。</w:t>
            </w:r>
          </w:p>
          <w:p w14:paraId="06F25D00"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二、原住民立法委員、直轄市議員、縣（市）議員、鄉（鎮、市）民代表</w:t>
            </w:r>
            <w:r w:rsidR="00B97723" w:rsidRPr="006C0248">
              <w:rPr>
                <w:rFonts w:hint="eastAsia"/>
              </w:rPr>
              <w:t>、原住民區民代表</w:t>
            </w:r>
            <w:r w:rsidRPr="006C0248">
              <w:rPr>
                <w:rFonts w:hint="eastAsia"/>
              </w:rPr>
              <w:t>選舉，為各該選舉區應選出之名額除該選舉區選舉人總數所得商數百分之十。</w:t>
            </w:r>
          </w:p>
          <w:p w14:paraId="1AE68D6A"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前項選舉結果未能當選或當選不足應選出之名額時，</w:t>
            </w:r>
            <w:r w:rsidRPr="006C0248">
              <w:rPr>
                <w:rFonts w:hint="eastAsia"/>
                <w:spacing w:val="4"/>
                <w:kern w:val="0"/>
              </w:rPr>
              <w:t>區域立法委員、直轄市長、縣（市）長、鄉（鎮、市</w:t>
            </w:r>
            <w:r w:rsidRPr="006C0248">
              <w:rPr>
                <w:rFonts w:hint="eastAsia"/>
              </w:rPr>
              <w:t>）長</w:t>
            </w:r>
            <w:r w:rsidR="00B97723" w:rsidRPr="006C0248">
              <w:rPr>
                <w:rFonts w:hint="eastAsia"/>
              </w:rPr>
              <w:t>、原住民區長</w:t>
            </w:r>
            <w:r w:rsidRPr="006C0248">
              <w:rPr>
                <w:rFonts w:hint="eastAsia"/>
              </w:rPr>
              <w:t>，應自投票之日起三個</w:t>
            </w:r>
            <w:r w:rsidRPr="006C0248">
              <w:rPr>
                <w:rFonts w:hint="eastAsia"/>
                <w:spacing w:val="2"/>
                <w:kern w:val="0"/>
              </w:rPr>
              <w:t>月內完成重行選舉投票；原住民立法委員、直轄市議員、縣（市）議員、鄉</w:t>
            </w:r>
            <w:r w:rsidRPr="006C0248">
              <w:rPr>
                <w:rFonts w:hint="eastAsia"/>
              </w:rPr>
              <w:t>（鎮、市）民代表</w:t>
            </w:r>
            <w:r w:rsidR="00B97723" w:rsidRPr="006C0248">
              <w:rPr>
                <w:rFonts w:hint="eastAsia"/>
              </w:rPr>
              <w:t>、原住民區民代表</w:t>
            </w:r>
            <w:r w:rsidRPr="006C0248">
              <w:rPr>
                <w:rFonts w:hint="eastAsia"/>
              </w:rPr>
              <w:t>視同缺額。同一選舉區內缺額達二分之一時，應自事實發生之日起三個月內完成補選投票。</w:t>
            </w:r>
          </w:p>
        </w:tc>
        <w:tc>
          <w:tcPr>
            <w:tcW w:w="3043" w:type="dxa"/>
          </w:tcPr>
          <w:p w14:paraId="19CBC8C4"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一、原住民立法委員選舉乃是憲法增修條文第四條賦予原住民族額外保障，應於公職人員選舉罷免中做妥適的保障，合先敘明。</w:t>
            </w:r>
          </w:p>
          <w:p w14:paraId="39E1D5F4"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二、我國選舉方式係採取相對多數當選制，未達最低得票率之缺額必須重新開放國民參與，始能符合選舉之選賢與能用意，如相同的選制卻無正當理由剝奪原住民族人透過補選再次選舉或參政機會，似與憲法第一百三十條規定國民有依法選舉或被選舉之權有違。</w:t>
            </w:r>
          </w:p>
          <w:p w14:paraId="27D9C7CF"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三、目前公職人員選舉</w:t>
            </w:r>
            <w:r w:rsidR="006A66B2" w:rsidRPr="006C0248">
              <w:rPr>
                <w:rFonts w:hint="eastAsia"/>
              </w:rPr>
              <w:t>制</w:t>
            </w:r>
            <w:r w:rsidRPr="006C0248">
              <w:rPr>
                <w:rFonts w:hint="eastAsia"/>
              </w:rPr>
              <w:t>度，將原住民立法委員因未能當選或當選不足應選出之名額，必須視同缺額，等於剝奪民意的再次選擇，對原住民族實屬不公。</w:t>
            </w:r>
          </w:p>
          <w:p w14:paraId="68D325B1"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四、原住民選舉區已分成山地原住民選舉區及平地原住民選舉區，每一選舉區僅有三席當選名額，如果必須等到同一選舉區內缺額達二分之一時，等於該選舉區缺額要達三分之二之絕對多數，方能補選，事實上發生機率不</w:t>
            </w:r>
            <w:r w:rsidR="006A66B2" w:rsidRPr="006C0248">
              <w:rPr>
                <w:rFonts w:hint="eastAsia"/>
              </w:rPr>
              <w:t>大</w:t>
            </w:r>
            <w:r w:rsidRPr="006C0248">
              <w:rPr>
                <w:rFonts w:hint="eastAsia"/>
              </w:rPr>
              <w:t>，本條缺額限制補選等同剝奪原住民參政權，爰修正本條第二項增列原住民立法委員得與一般選區有相同補選之機會。</w:t>
            </w:r>
          </w:p>
        </w:tc>
      </w:tr>
      <w:tr w:rsidR="00907F3C" w:rsidRPr="006C0248" w14:paraId="75A62995" w14:textId="77777777" w:rsidTr="00306DA9">
        <w:tc>
          <w:tcPr>
            <w:tcW w:w="3042" w:type="dxa"/>
          </w:tcPr>
          <w:p w14:paraId="1D2BF312"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第七十一條　當選人於就職前死亡或於就職前經判決當選無效確定者，依下列規定辦</w:t>
            </w:r>
            <w:r w:rsidRPr="006C0248">
              <w:rPr>
                <w:rFonts w:hint="eastAsia"/>
              </w:rPr>
              <w:lastRenderedPageBreak/>
              <w:t>理：</w:t>
            </w:r>
          </w:p>
          <w:p w14:paraId="3A18B209"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一、區域立法委員、</w:t>
            </w:r>
            <w:r w:rsidRPr="006C0248">
              <w:rPr>
                <w:rFonts w:hint="eastAsia"/>
                <w:u w:val="single"/>
              </w:rPr>
              <w:t>原住民立法委員</w:t>
            </w:r>
            <w:r w:rsidRPr="006C0248">
              <w:rPr>
                <w:rFonts w:hint="eastAsia"/>
              </w:rPr>
              <w:t>、直轄市長、縣（市）長、鄉（鎮、市）長</w:t>
            </w:r>
            <w:r w:rsidR="00B97723" w:rsidRPr="006C0248">
              <w:rPr>
                <w:rFonts w:hint="eastAsia"/>
              </w:rPr>
              <w:t>、原住民區長</w:t>
            </w:r>
            <w:r w:rsidRPr="006C0248">
              <w:rPr>
                <w:rFonts w:hint="eastAsia"/>
              </w:rPr>
              <w:t>、村（里）長，應自死亡之日或選舉委員會收到法院確定判決證明書之日起三個月內完成重行選舉投票。</w:t>
            </w:r>
          </w:p>
          <w:p w14:paraId="6072DB75"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二、直轄市議員、縣（市）議員、鄉（鎮、市）民代表</w:t>
            </w:r>
            <w:r w:rsidR="00B97723" w:rsidRPr="006C0248">
              <w:rPr>
                <w:rFonts w:hint="eastAsia"/>
              </w:rPr>
              <w:t>、原住民區民代表</w:t>
            </w:r>
            <w:r w:rsidRPr="006C0248">
              <w:rPr>
                <w:rFonts w:hint="eastAsia"/>
              </w:rPr>
              <w:t>，視同缺額；同一選舉區內缺額達二分之一時，應自死亡之日或選舉委員會收到法院確定判決證明書之日起三個月內完成補選投票。</w:t>
            </w:r>
          </w:p>
          <w:p w14:paraId="315A0FB1"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三、全國不分區及僑居國外國民立法委員，除以書面聲明放棄遞補者外，由該政黨登記之候選人名單按順位依序遞補；該政黨登記之候選人名單無人遞補時，視同缺額。</w:t>
            </w:r>
          </w:p>
          <w:p w14:paraId="6718BA43"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選舉當選人，在就職前喪失其所屬政黨黨籍者，自喪失黨籍之日起，喪失其當選資格；其所遺缺額，除以書面聲明放棄遞補者外，由該政黨登記之候選人名單按順位依序遞補；如該政黨登記之候選人名單無人遞補時，視同缺額。</w:t>
            </w:r>
          </w:p>
          <w:p w14:paraId="3AAE88B0"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選舉婦女當選人，在就職前死亡、就職前經判決當選無效確定或喪失其所屬政黨黨籍而出缺，致該政黨婦女當選人不足婦女應當選名額時，其所遺缺額，除以書面聲明放棄遞補者外，由該政黨登記之候選人名單中之婦女候選人順位依序遞補；該政黨登記之候選人名單無婦女候選人遞補時，視同缺額。</w:t>
            </w:r>
          </w:p>
          <w:p w14:paraId="54BE9470"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前二項政黨黨籍之喪失，應由所屬政黨檢附黨籍喪失證明書，向中央選舉委員會備案。</w:t>
            </w:r>
          </w:p>
          <w:p w14:paraId="2E5177FC"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第一項第三款、第二項及第三項所定立法委員之遞補，應自死亡之日、選舉委員會收到法院確定判決證明書或黨籍喪失證明書送達選舉委員會之日起十五日內，由中央選舉委員會公告遞補當選人名單。</w:t>
            </w:r>
          </w:p>
        </w:tc>
        <w:tc>
          <w:tcPr>
            <w:tcW w:w="3043" w:type="dxa"/>
          </w:tcPr>
          <w:p w14:paraId="0674DC96"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lastRenderedPageBreak/>
              <w:t>第七十一條　當選人於就職前死亡或於就職前經判決當選無效確定者，依下列規定辦</w:t>
            </w:r>
            <w:r w:rsidRPr="006C0248">
              <w:rPr>
                <w:rFonts w:hint="eastAsia"/>
              </w:rPr>
              <w:lastRenderedPageBreak/>
              <w:t>理：</w:t>
            </w:r>
          </w:p>
          <w:p w14:paraId="4C3F1865"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一、區域立法委員、直轄市長、縣（市）長、鄉（鎮、市）長</w:t>
            </w:r>
            <w:r w:rsidR="00B97723" w:rsidRPr="006C0248">
              <w:rPr>
                <w:rFonts w:hint="eastAsia"/>
              </w:rPr>
              <w:t>、原住民區長</w:t>
            </w:r>
            <w:r w:rsidRPr="006C0248">
              <w:rPr>
                <w:rFonts w:hint="eastAsia"/>
              </w:rPr>
              <w:t>、村（里）長，應自死亡之日或選舉委員會收到法院確定判決證明書之日起三個月內完成重行選舉投票。</w:t>
            </w:r>
          </w:p>
          <w:p w14:paraId="2B97B37C"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二、原住民立法委員、直轄市議員、縣（市）議員、鄉（鎮、市）民代表</w:t>
            </w:r>
            <w:r w:rsidR="00B97723" w:rsidRPr="006C0248">
              <w:rPr>
                <w:rFonts w:hint="eastAsia"/>
              </w:rPr>
              <w:t>、原住民區民代表</w:t>
            </w:r>
            <w:r w:rsidRPr="006C0248">
              <w:rPr>
                <w:rFonts w:hint="eastAsia"/>
              </w:rPr>
              <w:t>，視同缺額；同一選舉區內缺額達</w:t>
            </w:r>
            <w:r w:rsidRPr="006C0248">
              <w:rPr>
                <w:rFonts w:hint="eastAsia"/>
                <w:spacing w:val="2"/>
                <w:kern w:val="0"/>
              </w:rPr>
              <w:t>二分之一時，應自死亡之日或選舉委員會收到法院確定判決證明書之日起三個月內完成補</w:t>
            </w:r>
            <w:r w:rsidRPr="006C0248">
              <w:rPr>
                <w:rFonts w:hint="eastAsia"/>
              </w:rPr>
              <w:t>選投票。</w:t>
            </w:r>
          </w:p>
          <w:p w14:paraId="75CD58E3"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三、全國不分區及僑居國外國民立法委員，除以書面聲明放棄遞補者外，由該政黨登記之候選人名單按順位依序遞補；該政黨登記之候選人名單無人遞補時，視同缺額。</w:t>
            </w:r>
          </w:p>
          <w:p w14:paraId="61D7E92F"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選舉當選人，在就職前喪失其所屬政黨黨籍者，自喪失黨籍之日起，喪失其當選資格；其所遺缺額，除以書面聲明放棄遞補者外，由該政黨登記之候選人名單按順位依序遞補；如該政黨登記之候選人名單無人遞補時，視同缺額。</w:t>
            </w:r>
          </w:p>
          <w:p w14:paraId="33199F7E"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選舉婦女當選人，在就職前死亡、就職前經判決當選無效確定或喪失其所屬政黨黨籍而出缺，致該政黨婦女當選人不足婦女應當選名額時，其所遺缺額，除以書面聲明放棄遞補者外，由該政黨登記之候選人名單中之婦女候選人順位依序遞補；該政黨登記之候選人名單無婦女候選人遞補時，視同缺額。</w:t>
            </w:r>
          </w:p>
          <w:p w14:paraId="7908826E"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前二項政黨黨籍之喪失，應由所屬政黨檢附黨籍喪失證明書，向中央選舉委員會備案。</w:t>
            </w:r>
          </w:p>
          <w:p w14:paraId="5680B81C"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第一項第三款、第二項及第三項所定立法委員之遞補，應自死亡之日、選舉委員會收到法院確定判決證明書或黨籍喪失證明書送達選舉委員會之日起十五日內，由中央選舉委員會公告遞補當選人名單。</w:t>
            </w:r>
          </w:p>
        </w:tc>
        <w:tc>
          <w:tcPr>
            <w:tcW w:w="3043" w:type="dxa"/>
          </w:tcPr>
          <w:p w14:paraId="2323F7A5"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lastRenderedPageBreak/>
              <w:t>一、我國立法委員選舉制度已自第七屆產生變化，區域立法委員已由複數選區轉變成</w:t>
            </w:r>
            <w:r w:rsidRPr="006C0248">
              <w:rPr>
                <w:rFonts w:hint="eastAsia"/>
              </w:rPr>
              <w:lastRenderedPageBreak/>
              <w:t>單一選區，單一選區每一選舉區應選名額一名，並規範遺任任期達一年以上即可進行補選，合先敘明。</w:t>
            </w:r>
          </w:p>
          <w:p w14:paraId="35E036E1"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二、我國立法委員選舉制度，對區域立法委員採取單一選區選舉；而對原住民立法委員採取複數選區選舉。單一選區一有缺額必須進行補選，以免選舉區缺乏民意代表反應選區利益。然原住民立法委員選舉雖採取複數選區，但由於其選舉區屬於全國範圍，共有十六族原住民參與選舉，並依其歸類為山地或平地原住民選舉區，每一選舉區當選名額各三名。故原住民立法委員複數選區相當具有獨特性，絕對多數的缺額補選限制等於要求原住民立法委員缺額不用補選，且可能讓族群的代表性受損，故應賦予與區域立法委員同一補選規定，以補足其族群之代表性，爰修正本條第一項第一款，以保障原住民參政權。</w:t>
            </w:r>
          </w:p>
        </w:tc>
      </w:tr>
      <w:tr w:rsidR="00907F3C" w:rsidRPr="006C0248" w14:paraId="1AD491A1" w14:textId="77777777" w:rsidTr="00306DA9">
        <w:tc>
          <w:tcPr>
            <w:tcW w:w="3042" w:type="dxa"/>
          </w:tcPr>
          <w:p w14:paraId="02961CCA"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lastRenderedPageBreak/>
              <w:t>第七十三條　立法委員於就職後因死亡、辭職、經判決當選無效確定或其他事由出缺時，依下列規定辦理：</w:t>
            </w:r>
          </w:p>
          <w:p w14:paraId="53DB14F9"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一、區域</w:t>
            </w:r>
            <w:r w:rsidRPr="006C0248">
              <w:rPr>
                <w:rFonts w:hint="eastAsia"/>
                <w:u w:val="single"/>
              </w:rPr>
              <w:t>及原住民</w:t>
            </w:r>
            <w:r w:rsidRPr="006C0248">
              <w:rPr>
                <w:rFonts w:hint="eastAsia"/>
              </w:rPr>
              <w:t>選出者，應自死亡之日、辭職之日或選舉委員會收到法院確定判決證明書之日或其他出缺事由發生之日起三個月內完成補選投票。但其所遺任期不足一年時，不予補選。</w:t>
            </w:r>
          </w:p>
          <w:p w14:paraId="16C07904"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u w:val="single"/>
              </w:rPr>
              <w:t>二、</w:t>
            </w:r>
            <w:r w:rsidRPr="006C0248">
              <w:rPr>
                <w:rFonts w:hint="eastAsia"/>
              </w:rPr>
              <w:t>全國不分區及僑居國外國民選出者，其所遺缺額，除以書面聲明放棄遞補者外，由該政黨登記之候選人名單按順位依序遞補；如該政黨登記之候選人名單無人遞補時，視同缺額。</w:t>
            </w:r>
          </w:p>
          <w:p w14:paraId="70EF4FCA"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在就職後喪失其所屬政黨黨籍者，自喪失黨籍之日起，喪失其資格，由中央選舉委員會函請立法院予以註銷，其所遺缺額，除以書面聲明放棄遞補者外，由該政黨登記之候選人名單按順位依序遞補；如該政黨登記之候選人名單無人遞補時，視同缺額。</w:t>
            </w:r>
          </w:p>
          <w:p w14:paraId="27D4E136"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選舉婦女當選人，於就職後因死亡、辭職、經判決當選無效確定、喪失其所屬政黨黨籍或其他事由出缺，致該政黨婦女當選人不足婦女應當選名額時，其所遺缺額，除以書面聲明放棄遞補者外，由該政黨登記之候選人名單中之婦女候選人順位依序遞補；如該政黨登記之候選人名單無婦女候選人遞補時，視同缺額。</w:t>
            </w:r>
          </w:p>
          <w:p w14:paraId="2CD08C97"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前二項政黨黨籍之喪失，應由所屬政黨檢附黨籍喪失證明書，向中央選舉委員會備案。</w:t>
            </w:r>
          </w:p>
          <w:p w14:paraId="57AE4AA1"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第一項第</w:t>
            </w:r>
            <w:r w:rsidRPr="006C0248">
              <w:rPr>
                <w:rFonts w:hint="eastAsia"/>
                <w:u w:val="single"/>
              </w:rPr>
              <w:t>二</w:t>
            </w:r>
            <w:r w:rsidRPr="006C0248">
              <w:rPr>
                <w:rFonts w:hint="eastAsia"/>
              </w:rPr>
              <w:t>款、第二項及第三項所定立法委員之遞補，應自立法院註銷名籍公函送達之日起十五日內，由中央選舉委員會公告遞補名單。</w:t>
            </w:r>
          </w:p>
        </w:tc>
        <w:tc>
          <w:tcPr>
            <w:tcW w:w="3043" w:type="dxa"/>
          </w:tcPr>
          <w:p w14:paraId="5471F128"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第七十三條　立法委員於就職後因死亡、辭職、經判決當選無效確定或其他事由出缺時，依下列規定辦理：</w:t>
            </w:r>
          </w:p>
          <w:p w14:paraId="323D703C"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一、區域選出者，應自死亡之日、辭職之日或選舉委員會收到法院確定判決證明書之日或其他出缺事由發生之日起三個月內完成補選投票。但其所遺任期不足一年時，不予補選。</w:t>
            </w:r>
          </w:p>
          <w:p w14:paraId="7A078C6E"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二、原住民選出者，同一選舉區內缺額達二分之一時，應自死亡之日、辭職之日或選舉委員會收到法院確定判決證明書之日或其他出缺事由發生之日起三個月內完成補選投票。但其所遺任期不足一年時，不予補選。</w:t>
            </w:r>
          </w:p>
          <w:p w14:paraId="0EA3419D" w14:textId="77777777" w:rsidR="00907F3C" w:rsidRPr="006C0248" w:rsidRDefault="00907F3C" w:rsidP="00306DA9">
            <w:pPr>
              <w:spacing w:line="315" w:lineRule="exact"/>
              <w:ind w:leftChars="150" w:left="527" w:rightChars="50" w:right="105" w:hangingChars="100" w:hanging="211"/>
              <w:rPr>
                <w:rFonts w:hint="eastAsia"/>
              </w:rPr>
            </w:pPr>
            <w:r w:rsidRPr="006C0248">
              <w:rPr>
                <w:rFonts w:hint="eastAsia"/>
              </w:rPr>
              <w:t>三、全國不分區及僑居國外國民選出者，其所遺缺額，除以書面聲明放棄遞補者外，由該政黨登記之候選人名單按順位依序遞補；如該政黨登記之候選人名單無人遞補時，視同缺額。</w:t>
            </w:r>
          </w:p>
          <w:p w14:paraId="2818DC02"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在就職後喪失其所屬政黨黨籍者，自喪失黨籍之日起，喪失其資格，由中央選舉委員會函請立法院予以註銷，其所遺缺額，除以書面聲明放棄遞補者外，由該政黨登記之候選人名單按順位依序遞補；如該政黨登記之候選人名單無人遞補時，視同缺額。</w:t>
            </w:r>
          </w:p>
          <w:p w14:paraId="5CBD0680"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全國不分區及僑居國外國民立法委員選舉婦女當選人，於就職後因死亡、辭職、經判決當選無效確定、喪失其所屬政黨黨籍或其他事由出缺，致該政黨婦女當選人不足婦女應當選名額時，其所遺缺額，除以書面聲明放棄遞補者外，由該政黨登記之候選人名單中之婦女候選人順位依序遞補；如該政黨登記之候選人名單無婦女候選人遞補時，視同缺額。</w:t>
            </w:r>
          </w:p>
          <w:p w14:paraId="5AAF4B2B"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前二項政黨黨籍之喪失，應由所屬政黨檢附黨籍喪失證明書，向中央選舉委員會備案。</w:t>
            </w:r>
          </w:p>
          <w:p w14:paraId="11E39554" w14:textId="77777777" w:rsidR="00907F3C" w:rsidRPr="006C0248" w:rsidRDefault="00907F3C" w:rsidP="00306DA9">
            <w:pPr>
              <w:spacing w:line="315" w:lineRule="exact"/>
              <w:ind w:leftChars="150" w:left="316" w:rightChars="50" w:right="105" w:firstLineChars="200" w:firstLine="422"/>
              <w:rPr>
                <w:rFonts w:hint="eastAsia"/>
              </w:rPr>
            </w:pPr>
            <w:r w:rsidRPr="006C0248">
              <w:rPr>
                <w:rFonts w:hint="eastAsia"/>
              </w:rPr>
              <w:t>第一項第三款、第二項及第三項所定立法委員之遞補，應自立法院註銷名籍公函送達之日起十五日內，由中央選舉委員會公告遞補名單。</w:t>
            </w:r>
          </w:p>
        </w:tc>
        <w:tc>
          <w:tcPr>
            <w:tcW w:w="3043" w:type="dxa"/>
          </w:tcPr>
          <w:p w14:paraId="62E46FC9"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一、原住民立法委員的制度乃憲法增修條文第四條賦予原住民族額外保障，合先敘明。</w:t>
            </w:r>
          </w:p>
          <w:p w14:paraId="70A15BAA"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二、此外，目前公職人員選舉罷免法限制原住民選舉區之議席缺額補選門檻規定，忽略了我國立法委員選舉制度已自第</w:t>
            </w:r>
            <w:r w:rsidRPr="006C0248">
              <w:rPr>
                <w:rFonts w:hint="eastAsia"/>
              </w:rPr>
              <w:t>7</w:t>
            </w:r>
            <w:r w:rsidRPr="006C0248">
              <w:rPr>
                <w:rFonts w:hint="eastAsia"/>
              </w:rPr>
              <w:t>屆產生變化，區域立法委員已由複數選區轉變成單一選區，單一選區每一選舉區應選名額</w:t>
            </w:r>
            <w:r w:rsidRPr="006C0248">
              <w:rPr>
                <w:rFonts w:hint="eastAsia"/>
              </w:rPr>
              <w:t>1</w:t>
            </w:r>
            <w:r w:rsidRPr="006C0248">
              <w:rPr>
                <w:rFonts w:hint="eastAsia"/>
              </w:rPr>
              <w:t>名，並規範遺任任期達一年以上即可進行補選。惟原住民族選區，仍要求達到應選名額一定比例，才可進行補選，顯不合理。基於「相同事情相同處理，不同事情不同處理」的平等原則，將一般選區與原住民選區補選制度做統一之規範，爰修正本條。</w:t>
            </w:r>
          </w:p>
          <w:p w14:paraId="79468D4E"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三、區域及原住民立法委員均屬於選民直接於選舉區內投票產生，及與依政黨名單產生之全國不分區及僑居國外國民選出者不同，基於同屬民意直接選舉產生之區域及原住民立法委員，如有缺額則須採取一致之補選規定，不宜限制採取複數選舉區之原住民立法委員之補選必須其選舉區缺額達到半數，才能補選。爰將第一項第一款增列原住民選出者，以取得與區域選出者獲到相同補選規定，並將同項第二款予以刪除，第三款改為第二款。</w:t>
            </w:r>
          </w:p>
          <w:p w14:paraId="22A7CF9D" w14:textId="77777777" w:rsidR="00907F3C" w:rsidRPr="006C0248" w:rsidRDefault="00907F3C" w:rsidP="00306DA9">
            <w:pPr>
              <w:spacing w:line="315" w:lineRule="exact"/>
              <w:ind w:leftChars="50" w:left="316" w:rightChars="50" w:right="105" w:hangingChars="100" w:hanging="211"/>
              <w:rPr>
                <w:rFonts w:hint="eastAsia"/>
              </w:rPr>
            </w:pPr>
            <w:r w:rsidRPr="006C0248">
              <w:rPr>
                <w:rFonts w:hint="eastAsia"/>
              </w:rPr>
              <w:t>四、第五項配合第一項之修正，爰將第一項第三款改為第一項第二款。</w:t>
            </w:r>
          </w:p>
        </w:tc>
      </w:tr>
    </w:tbl>
    <w:p w14:paraId="67E38DED" w14:textId="77777777" w:rsidR="00414D0F" w:rsidRPr="006C0248" w:rsidRDefault="003156BB" w:rsidP="00907F3C">
      <w:r w:rsidRPr="006C0248">
        <w:pict w14:anchorId="37058443">
          <v:line id="DW8371894" o:spid="_x0000_s1066" style="position:absolute;left:0;text-align:left;z-index:251656704;mso-position-horizontal-relative:text;mso-position-vertical-relative:text" from="-2.35pt,-.1pt" to="455.45pt,-.1pt" strokeweight="1.5pt"/>
        </w:pict>
      </w:r>
    </w:p>
    <w:p w14:paraId="1FC89F08" w14:textId="77777777" w:rsidR="00D22A25" w:rsidRPr="006C0248" w:rsidRDefault="00414D0F" w:rsidP="00907F3C">
      <w:pPr>
        <w:rPr>
          <w:rFonts w:hint="eastAsia"/>
        </w:rPr>
      </w:pPr>
      <w:r w:rsidRPr="006C0248">
        <w:br w:type="page"/>
      </w:r>
    </w:p>
    <w:sectPr w:rsidR="00D22A25" w:rsidRPr="006C0248" w:rsidSect="00907F3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CD8B5E" w14:textId="77777777" w:rsidR="00B05733" w:rsidRDefault="00B05733">
      <w:r>
        <w:separator/>
      </w:r>
    </w:p>
  </w:endnote>
  <w:endnote w:type="continuationSeparator" w:id="0">
    <w:p w14:paraId="49F3A81A" w14:textId="77777777" w:rsidR="00B05733" w:rsidRDefault="00B0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A759B" w14:textId="77777777" w:rsidR="004807E3" w:rsidRPr="00A766B4" w:rsidRDefault="00A766B4" w:rsidP="00A766B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C0248">
      <w:t>716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C6FAA" w14:textId="77777777" w:rsidR="004807E3" w:rsidRPr="00A766B4" w:rsidRDefault="00A766B4" w:rsidP="00A766B4">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6C0248">
      <w:t>715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294FB" w14:textId="77777777" w:rsidR="00B05733" w:rsidRDefault="00B05733">
      <w:r>
        <w:separator/>
      </w:r>
    </w:p>
  </w:footnote>
  <w:footnote w:type="continuationSeparator" w:id="0">
    <w:p w14:paraId="75366A28" w14:textId="77777777" w:rsidR="00B05733" w:rsidRDefault="00B05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676E4" w14:textId="77777777" w:rsidR="004807E3" w:rsidRPr="00A766B4" w:rsidRDefault="00A766B4" w:rsidP="00A766B4">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10</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5A8D1" w14:textId="77777777" w:rsidR="004807E3" w:rsidRPr="00A766B4" w:rsidRDefault="00A766B4" w:rsidP="00A766B4">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10</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966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496"/>
    <w:rsid w:val="00021974"/>
    <w:rsid w:val="000322E4"/>
    <w:rsid w:val="00034179"/>
    <w:rsid w:val="0006260D"/>
    <w:rsid w:val="0006431D"/>
    <w:rsid w:val="0007483B"/>
    <w:rsid w:val="00092EFA"/>
    <w:rsid w:val="000B190B"/>
    <w:rsid w:val="000C6344"/>
    <w:rsid w:val="000D2076"/>
    <w:rsid w:val="000D7B4B"/>
    <w:rsid w:val="000E3372"/>
    <w:rsid w:val="000F48AA"/>
    <w:rsid w:val="000F5E0A"/>
    <w:rsid w:val="001132D3"/>
    <w:rsid w:val="001166AB"/>
    <w:rsid w:val="00123301"/>
    <w:rsid w:val="00130626"/>
    <w:rsid w:val="001346DF"/>
    <w:rsid w:val="00140260"/>
    <w:rsid w:val="00152E55"/>
    <w:rsid w:val="00153AD0"/>
    <w:rsid w:val="00174DC3"/>
    <w:rsid w:val="001776A7"/>
    <w:rsid w:val="00192966"/>
    <w:rsid w:val="001A0A32"/>
    <w:rsid w:val="001A5138"/>
    <w:rsid w:val="001A7C69"/>
    <w:rsid w:val="001C0565"/>
    <w:rsid w:val="001E1A19"/>
    <w:rsid w:val="001E385A"/>
    <w:rsid w:val="001F5A61"/>
    <w:rsid w:val="00210D34"/>
    <w:rsid w:val="00235073"/>
    <w:rsid w:val="00235BD9"/>
    <w:rsid w:val="00240FA3"/>
    <w:rsid w:val="0024333A"/>
    <w:rsid w:val="00243679"/>
    <w:rsid w:val="00252A12"/>
    <w:rsid w:val="00293B0A"/>
    <w:rsid w:val="002A04DC"/>
    <w:rsid w:val="002A509E"/>
    <w:rsid w:val="002C335B"/>
    <w:rsid w:val="00306DA9"/>
    <w:rsid w:val="003156BB"/>
    <w:rsid w:val="003254B8"/>
    <w:rsid w:val="003506B6"/>
    <w:rsid w:val="003516B8"/>
    <w:rsid w:val="00355CB3"/>
    <w:rsid w:val="00360394"/>
    <w:rsid w:val="00362E94"/>
    <w:rsid w:val="00372E8D"/>
    <w:rsid w:val="00387860"/>
    <w:rsid w:val="00395E18"/>
    <w:rsid w:val="003A00D7"/>
    <w:rsid w:val="003A6947"/>
    <w:rsid w:val="003B341B"/>
    <w:rsid w:val="004034F0"/>
    <w:rsid w:val="004047CB"/>
    <w:rsid w:val="00405CC1"/>
    <w:rsid w:val="00407950"/>
    <w:rsid w:val="004126B4"/>
    <w:rsid w:val="00414D0F"/>
    <w:rsid w:val="0042704C"/>
    <w:rsid w:val="0044045C"/>
    <w:rsid w:val="00441B24"/>
    <w:rsid w:val="00443AB2"/>
    <w:rsid w:val="00453F8A"/>
    <w:rsid w:val="00473B4E"/>
    <w:rsid w:val="004807E3"/>
    <w:rsid w:val="00485C17"/>
    <w:rsid w:val="00494F5C"/>
    <w:rsid w:val="004C459D"/>
    <w:rsid w:val="004D78BA"/>
    <w:rsid w:val="004E74DF"/>
    <w:rsid w:val="004F17A8"/>
    <w:rsid w:val="00542984"/>
    <w:rsid w:val="00552448"/>
    <w:rsid w:val="00572D70"/>
    <w:rsid w:val="005B1DB0"/>
    <w:rsid w:val="00632430"/>
    <w:rsid w:val="00655703"/>
    <w:rsid w:val="006873C4"/>
    <w:rsid w:val="006A66B2"/>
    <w:rsid w:val="006B2490"/>
    <w:rsid w:val="006B2CB0"/>
    <w:rsid w:val="006C0248"/>
    <w:rsid w:val="006C7F9F"/>
    <w:rsid w:val="006D7D23"/>
    <w:rsid w:val="006E2402"/>
    <w:rsid w:val="006E3C20"/>
    <w:rsid w:val="006F10CF"/>
    <w:rsid w:val="006F5861"/>
    <w:rsid w:val="00722A05"/>
    <w:rsid w:val="00732BD2"/>
    <w:rsid w:val="00735FD8"/>
    <w:rsid w:val="007776A4"/>
    <w:rsid w:val="00781901"/>
    <w:rsid w:val="007908D5"/>
    <w:rsid w:val="00794FA3"/>
    <w:rsid w:val="007A1C27"/>
    <w:rsid w:val="007A4599"/>
    <w:rsid w:val="007C4084"/>
    <w:rsid w:val="007D04A0"/>
    <w:rsid w:val="007E74DC"/>
    <w:rsid w:val="007F7A16"/>
    <w:rsid w:val="00844E78"/>
    <w:rsid w:val="00861B21"/>
    <w:rsid w:val="00863C32"/>
    <w:rsid w:val="00864C67"/>
    <w:rsid w:val="00875F20"/>
    <w:rsid w:val="00877898"/>
    <w:rsid w:val="00883D74"/>
    <w:rsid w:val="00886999"/>
    <w:rsid w:val="008A0C5D"/>
    <w:rsid w:val="008B4209"/>
    <w:rsid w:val="008E326C"/>
    <w:rsid w:val="008E5D88"/>
    <w:rsid w:val="0090241A"/>
    <w:rsid w:val="00907F3C"/>
    <w:rsid w:val="00926F56"/>
    <w:rsid w:val="00950426"/>
    <w:rsid w:val="00963798"/>
    <w:rsid w:val="00992003"/>
    <w:rsid w:val="009C16B2"/>
    <w:rsid w:val="009C3904"/>
    <w:rsid w:val="009D3F34"/>
    <w:rsid w:val="009E0C79"/>
    <w:rsid w:val="009E10F6"/>
    <w:rsid w:val="00A05B7F"/>
    <w:rsid w:val="00A0600A"/>
    <w:rsid w:val="00A13259"/>
    <w:rsid w:val="00A22496"/>
    <w:rsid w:val="00A32A9C"/>
    <w:rsid w:val="00A678DC"/>
    <w:rsid w:val="00A766B4"/>
    <w:rsid w:val="00A80A44"/>
    <w:rsid w:val="00A86BD4"/>
    <w:rsid w:val="00A876DC"/>
    <w:rsid w:val="00AA2ADF"/>
    <w:rsid w:val="00AC692A"/>
    <w:rsid w:val="00AC6A09"/>
    <w:rsid w:val="00AD6810"/>
    <w:rsid w:val="00AF1CCC"/>
    <w:rsid w:val="00B05733"/>
    <w:rsid w:val="00B15BB5"/>
    <w:rsid w:val="00B278AB"/>
    <w:rsid w:val="00B40364"/>
    <w:rsid w:val="00B97723"/>
    <w:rsid w:val="00BA71D7"/>
    <w:rsid w:val="00BB5684"/>
    <w:rsid w:val="00BE0A55"/>
    <w:rsid w:val="00BF63AF"/>
    <w:rsid w:val="00C15FCA"/>
    <w:rsid w:val="00C201E0"/>
    <w:rsid w:val="00C216C6"/>
    <w:rsid w:val="00C50091"/>
    <w:rsid w:val="00C56D95"/>
    <w:rsid w:val="00C63ED3"/>
    <w:rsid w:val="00C84B2E"/>
    <w:rsid w:val="00C9556F"/>
    <w:rsid w:val="00C9653B"/>
    <w:rsid w:val="00CB1155"/>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C39D9"/>
    <w:rsid w:val="00DE0D1A"/>
    <w:rsid w:val="00DF37C2"/>
    <w:rsid w:val="00DF389A"/>
    <w:rsid w:val="00E049FB"/>
    <w:rsid w:val="00E10D3F"/>
    <w:rsid w:val="00E17449"/>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13503D"/>
  <w15:chartTrackingRefBased/>
  <w15:docId w15:val="{E2C1DB71-21A6-4A6E-A531-D7BE0739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 w:type="paragraph" w:styleId="affffff7">
    <w:name w:val="Balloon Text"/>
    <w:basedOn w:val="a"/>
    <w:link w:val="affffff8"/>
    <w:uiPriority w:val="99"/>
    <w:semiHidden/>
    <w:unhideWhenUsed/>
    <w:rsid w:val="00B97723"/>
    <w:rPr>
      <w:rFonts w:ascii="Cambria" w:eastAsia="新細明體" w:hAnsi="Cambria"/>
      <w:sz w:val="18"/>
      <w:szCs w:val="18"/>
    </w:rPr>
  </w:style>
  <w:style w:type="character" w:customStyle="1" w:styleId="affffff8">
    <w:name w:val="註解方塊文字 字元"/>
    <w:link w:val="affffff7"/>
    <w:uiPriority w:val="99"/>
    <w:semiHidden/>
    <w:rsid w:val="00B97723"/>
    <w:rPr>
      <w:rFonts w:ascii="Cambria" w:eastAsia="新細明體" w:hAnsi="Cambria" w:cs="Times New Roman"/>
      <w:noProof/>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F25E9-D65E-40F2-88F0-11CA77E7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dc:creator>
  <cp:keywords>11;1;10</cp:keywords>
  <dc:description>委715;委720;6;議案202110033950000</dc:description>
  <cp:lastModifiedBy>景濰 李</cp:lastModifiedBy>
  <cp:revision>2</cp:revision>
  <cp:lastPrinted>2024-07-01T03:12:00Z</cp:lastPrinted>
  <dcterms:created xsi:type="dcterms:W3CDTF">2025-08-05T09:35:00Z</dcterms:created>
  <dcterms:modified xsi:type="dcterms:W3CDTF">2025-08-05T09:35:00Z</dcterms:modified>
</cp:coreProperties>
</file>