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17D" w:rsidRDefault="0082217D" w:rsidP="00FD2199">
      <w:pPr>
        <w:widowControl/>
        <w:ind w:firstLine="420"/>
        <w:jc w:val="left"/>
        <w:rPr>
          <w:rFonts w:ascii="PingFang SC" w:eastAsia="PingFang SC" w:hAnsi="PingFang SC" w:cs="宋体"/>
          <w:color w:val="999999"/>
          <w:kern w:val="0"/>
          <w:szCs w:val="21"/>
          <w:shd w:val="clear" w:color="auto" w:fill="FFFFFF"/>
        </w:rPr>
      </w:pPr>
      <w:r w:rsidRPr="0082217D">
        <w:rPr>
          <w:rFonts w:ascii="PingFang SC" w:eastAsia="PingFang SC" w:hAnsi="PingFang SC" w:cs="宋体" w:hint="eastAsia"/>
          <w:color w:val="999999"/>
          <w:kern w:val="0"/>
          <w:szCs w:val="21"/>
          <w:shd w:val="clear" w:color="auto" w:fill="FFFFFF"/>
        </w:rPr>
        <w:t>主要讲了将policy看成某个参数</w:t>
      </w:r>
      <w:proofErr w:type="spellStart"/>
      <w:r w:rsidRPr="0082217D">
        <w:rPr>
          <w:rFonts w:ascii="STIXGeneral-Italic" w:eastAsia="PingFang SC" w:hAnsi="STIXGeneral-Italic" w:cs="STIXGeneral-Italic"/>
          <w:color w:val="999999"/>
          <w:kern w:val="0"/>
          <w:sz w:val="25"/>
          <w:szCs w:val="25"/>
          <w:bdr w:val="none" w:sz="0" w:space="0" w:color="auto" w:frame="1"/>
          <w:shd w:val="clear" w:color="auto" w:fill="FFFFFF"/>
        </w:rPr>
        <w:t>heta</w:t>
      </w:r>
      <w:r w:rsidRPr="0082217D">
        <w:rPr>
          <w:rFonts w:ascii="PingFang SC" w:eastAsia="PingFang SC" w:hAnsi="PingFang SC" w:cs="宋体" w:hint="eastAsia"/>
          <w:color w:val="999999"/>
          <w:kern w:val="0"/>
          <w:szCs w:val="21"/>
          <w:bdr w:val="none" w:sz="0" w:space="0" w:color="auto" w:frame="1"/>
          <w:shd w:val="clear" w:color="auto" w:fill="FFFFFF"/>
        </w:rPr>
        <w:t>heta</w:t>
      </w:r>
      <w:proofErr w:type="spellEnd"/>
      <w:r w:rsidRPr="0082217D">
        <w:rPr>
          <w:rFonts w:ascii="PingFang SC" w:eastAsia="PingFang SC" w:hAnsi="PingFang SC" w:cs="宋体" w:hint="eastAsia"/>
          <w:color w:val="999999"/>
          <w:kern w:val="0"/>
          <w:szCs w:val="21"/>
          <w:shd w:val="clear" w:color="auto" w:fill="FFFFFF"/>
        </w:rPr>
        <w:t>的函数，即将policy形式变成状态和动作的概率分布函数，在policy函数可微的情况下能够通过对参数求导来优化policy</w:t>
      </w:r>
      <w:r w:rsidR="00515A1E">
        <w:rPr>
          <w:rFonts w:ascii="PingFang SC" w:eastAsia="PingFang SC" w:hAnsi="PingFang SC" w:cs="宋体" w:hint="eastAsia"/>
          <w:color w:val="999999"/>
          <w:kern w:val="0"/>
          <w:szCs w:val="21"/>
          <w:shd w:val="clear" w:color="auto" w:fill="FFFFFF"/>
        </w:rPr>
        <w:t>。</w:t>
      </w:r>
    </w:p>
    <w:p w:rsidR="00932882" w:rsidRPr="00932882" w:rsidRDefault="00932882" w:rsidP="008B14FF">
      <w:pPr>
        <w:widowControl/>
        <w:shd w:val="clear" w:color="auto" w:fill="FFFFFF"/>
        <w:spacing w:after="375"/>
        <w:ind w:firstLine="420"/>
        <w:jc w:val="left"/>
        <w:rPr>
          <w:rFonts w:ascii="PingFang SC" w:eastAsia="PingFang SC" w:hAnsi="PingFang SC" w:cs="宋体"/>
          <w:color w:val="555555"/>
          <w:kern w:val="0"/>
          <w:szCs w:val="21"/>
        </w:rPr>
      </w:pP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在第一课的内容中，曾经提到过agent的分类，将value function、policy、model(environment)进行组合可以得到model-based、policy-based、model-free、value-based、actor critic五种类型。其中value-based是说已知policy情况下学习value function，就像第四课的内容。policy-based是指没有显式的值函数形式，而需要学习policy。actor critic则是需要同时学习学习值函数和policy的形式。</w:t>
      </w:r>
    </w:p>
    <w:p w:rsidR="00932882" w:rsidRPr="00932882" w:rsidRDefault="00932882" w:rsidP="00FB78D0">
      <w:pPr>
        <w:widowControl/>
        <w:shd w:val="clear" w:color="auto" w:fill="FFFFFF"/>
        <w:spacing w:after="375"/>
        <w:ind w:firstLine="420"/>
        <w:jc w:val="left"/>
        <w:rPr>
          <w:rFonts w:ascii="PingFang SC" w:eastAsia="PingFang SC" w:hAnsi="PingFang SC" w:cs="宋体"/>
          <w:color w:val="555555"/>
          <w:kern w:val="0"/>
          <w:szCs w:val="21"/>
        </w:rPr>
      </w:pP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带有随机性的policy往往比确定性的policy效果要好，就如第一课中所说的确定性的policy通常会被过利用。Policy-based类型能学习到带有随机性的policy，并且对于高维的action更有效。后者是因为在用value-based的方法时，常常要最大化当前的值函数，会需要大量的计算。</w:t>
      </w:r>
    </w:p>
    <w:p w:rsidR="00932882" w:rsidRPr="00932882" w:rsidRDefault="00932882" w:rsidP="00BB172C">
      <w:pPr>
        <w:widowControl/>
        <w:shd w:val="clear" w:color="auto" w:fill="FFFFFF"/>
        <w:ind w:firstLine="420"/>
        <w:jc w:val="left"/>
        <w:rPr>
          <w:rFonts w:ascii="PingFang SC" w:eastAsia="PingFang SC" w:hAnsi="PingFang SC" w:cs="宋体"/>
          <w:color w:val="555555"/>
          <w:kern w:val="0"/>
          <w:szCs w:val="21"/>
        </w:rPr>
      </w:pP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在之前的课程中，policy都是基于greedy或者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ϵ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932882">
        <w:rPr>
          <w:rFonts w:ascii="Calibri" w:eastAsia="PingFang SC" w:hAnsi="Calibri" w:cs="Calibri"/>
          <w:color w:val="555555"/>
          <w:kern w:val="0"/>
          <w:szCs w:val="21"/>
          <w:bdr w:val="none" w:sz="0" w:space="0" w:color="auto" w:frame="1"/>
        </w:rPr>
        <w:t>ϵ</w:t>
      </w: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  <w:bdr w:val="none" w:sz="0" w:space="0" w:color="auto" w:frame="1"/>
        </w:rPr>
        <w:t>−</w:t>
      </w: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greedy的方法直接从值函数中获得。本课主要内容是为policy引入参数，变成在某个状态和某组参数下选择某个动作的概率分布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π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18"/>
          <w:szCs w:val="18"/>
          <w:bdr w:val="none" w:sz="0" w:space="0" w:color="auto" w:frame="1"/>
        </w:rPr>
        <w:t>θ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s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,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a</w:t>
      </w:r>
      <w:proofErr w:type="spellEnd"/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)=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P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a</w:t>
      </w:r>
      <w:r w:rsidRPr="00932882">
        <w:rPr>
          <w:rFonts w:ascii="STIXVariants" w:eastAsia="PingFang SC" w:hAnsi="STIXVariants" w:cs="宋体"/>
          <w:color w:val="555555"/>
          <w:kern w:val="0"/>
          <w:sz w:val="25"/>
          <w:szCs w:val="25"/>
          <w:bdr w:val="none" w:sz="0" w:space="0" w:color="auto" w:frame="1"/>
        </w:rPr>
        <w:t>|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s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,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θ</w:t>
      </w:r>
      <w:proofErr w:type="spellEnd"/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]</w:t>
      </w: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，直接求解策略，从已有的sample的experience中学习如何让policy变得更好。为什么要求解含参数的policy也是跟上节课一样的原因，现实问题中有大量的state和action，无法针对每个state每个action都有一个确定的policy，因此需要一定的泛化能力，面对没有见过的state或者action有一定的决策能力。</w:t>
      </w:r>
    </w:p>
    <w:p w:rsidR="00932882" w:rsidRPr="00932882" w:rsidRDefault="00932882" w:rsidP="00BB172C">
      <w:pPr>
        <w:widowControl/>
        <w:shd w:val="clear" w:color="auto" w:fill="FFFFFF"/>
        <w:ind w:firstLine="420"/>
        <w:jc w:val="left"/>
        <w:rPr>
          <w:rFonts w:ascii="PingFang SC" w:eastAsia="PingFang SC" w:hAnsi="PingFang SC" w:cs="宋体"/>
          <w:color w:val="555555"/>
          <w:kern w:val="0"/>
          <w:szCs w:val="21"/>
        </w:rPr>
      </w:pP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将Policy表达成参数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θ</w:t>
      </w: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的目标函数，有如下几种形式，start value是针对拥有起始状态的情况下求起始状态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s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获得的reward，average value针对不存在起始状态而且停止状态也不固定的情况，在这些可能的状态上计算平均获得的reward，或者只计算</w:t>
      </w:r>
      <w:proofErr w:type="spellStart"/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immdiate</w:t>
      </w:r>
      <w:proofErr w:type="spellEnd"/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 xml:space="preserve"> reward的期望。其中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d</w:t>
      </w:r>
      <w:bookmarkStart w:id="0" w:name="_GoBack"/>
      <w:bookmarkEnd w:id="0"/>
      <w:r w:rsidR="002C3E1C"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 xml:space="preserve"> 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(</w:t>
      </w:r>
      <w:r w:rsidRPr="00932882">
        <w:rPr>
          <w:rFonts w:ascii="STIXGeneral-Italic" w:eastAsia="PingFang SC" w:hAnsi="STIXGeneral-Italic" w:cs="STIXGeneral-Italic"/>
          <w:color w:val="555555"/>
          <w:kern w:val="0"/>
          <w:sz w:val="25"/>
          <w:szCs w:val="25"/>
          <w:bdr w:val="none" w:sz="0" w:space="0" w:color="auto" w:frame="1"/>
        </w:rPr>
        <w:t>s</w:t>
      </w:r>
      <w:r w:rsidRPr="00932882">
        <w:rPr>
          <w:rFonts w:ascii="STIXGeneral-Regular" w:eastAsia="PingFang SC" w:hAnsi="STIXGeneral-Regular" w:cs="STIXGeneral-Regular"/>
          <w:color w:val="555555"/>
          <w:kern w:val="0"/>
          <w:sz w:val="25"/>
          <w:szCs w:val="25"/>
          <w:bdr w:val="none" w:sz="0" w:space="0" w:color="auto" w:frame="1"/>
        </w:rPr>
        <w:t>)</w:t>
      </w:r>
      <w:r w:rsidRPr="00932882">
        <w:rPr>
          <w:rFonts w:ascii="PingFang SC" w:eastAsia="PingFang SC" w:hAnsi="PingFang SC" w:cs="宋体" w:hint="eastAsia"/>
          <w:color w:val="555555"/>
          <w:kern w:val="0"/>
          <w:szCs w:val="21"/>
        </w:rPr>
        <w:t>指状态分布函数。</w:t>
      </w:r>
    </w:p>
    <w:p w:rsidR="00515A1E" w:rsidRPr="0082217D" w:rsidRDefault="00515A1E" w:rsidP="00FD219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B05792" w:rsidRDefault="002C3E1C"/>
    <w:p w:rsidR="00DD1571" w:rsidRDefault="00485EA2" w:rsidP="00DD1571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onte</w:t>
      </w:r>
      <w:r>
        <w:t>-</w:t>
      </w:r>
      <w:proofErr w:type="spellStart"/>
      <w:r>
        <w:rPr>
          <w:rFonts w:hint="eastAsia"/>
        </w:rPr>
        <w:t>carlo</w:t>
      </w:r>
      <w:proofErr w:type="spellEnd"/>
      <w:r>
        <w:t xml:space="preserve"> </w:t>
      </w:r>
      <w:r>
        <w:rPr>
          <w:rFonts w:hint="eastAsia"/>
        </w:rPr>
        <w:t>policy</w:t>
      </w:r>
      <w:r>
        <w:t xml:space="preserve"> </w:t>
      </w:r>
      <w:r>
        <w:rPr>
          <w:rFonts w:hint="eastAsia"/>
        </w:rPr>
        <w:t>gradient</w:t>
      </w:r>
    </w:p>
    <w:p w:rsidR="00F771E4" w:rsidRPr="00DD1571" w:rsidRDefault="00C863F9" w:rsidP="00DD1571">
      <w:pPr>
        <w:pStyle w:val="a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ctor</w:t>
      </w:r>
      <w:r>
        <w:t>-</w:t>
      </w:r>
      <w:r>
        <w:rPr>
          <w:rFonts w:hint="eastAsia"/>
        </w:rPr>
        <w:t>critic</w:t>
      </w:r>
      <w:r>
        <w:t xml:space="preserve"> </w:t>
      </w:r>
      <w:r>
        <w:rPr>
          <w:rFonts w:hint="eastAsia"/>
        </w:rPr>
        <w:t>policy</w:t>
      </w:r>
      <w:r>
        <w:t xml:space="preserve"> </w:t>
      </w:r>
      <w:r>
        <w:rPr>
          <w:rFonts w:hint="eastAsia"/>
        </w:rPr>
        <w:t>gradient</w:t>
      </w:r>
    </w:p>
    <w:sectPr w:rsidR="00F771E4" w:rsidRPr="00DD1571" w:rsidSect="00DA63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Variant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63D"/>
    <w:multiLevelType w:val="hybridMultilevel"/>
    <w:tmpl w:val="110C5A2E"/>
    <w:lvl w:ilvl="0" w:tplc="A1362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1A"/>
    <w:rsid w:val="00122D1A"/>
    <w:rsid w:val="00261848"/>
    <w:rsid w:val="002C3E1C"/>
    <w:rsid w:val="0033088B"/>
    <w:rsid w:val="00455CD7"/>
    <w:rsid w:val="00485EA2"/>
    <w:rsid w:val="00515A1E"/>
    <w:rsid w:val="0082217D"/>
    <w:rsid w:val="008B14FF"/>
    <w:rsid w:val="00932882"/>
    <w:rsid w:val="00BB172C"/>
    <w:rsid w:val="00C863F9"/>
    <w:rsid w:val="00DA6315"/>
    <w:rsid w:val="00DD00C4"/>
    <w:rsid w:val="00DD1571"/>
    <w:rsid w:val="00F771E4"/>
    <w:rsid w:val="00FB78D0"/>
    <w:rsid w:val="00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F446"/>
  <w15:chartTrackingRefBased/>
  <w15:docId w15:val="{BE013E0E-ED47-1C42-B78D-C833171B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2217D"/>
  </w:style>
  <w:style w:type="character" w:customStyle="1" w:styleId="mjxassistivemathml">
    <w:name w:val="mjx_assistive_mathml"/>
    <w:basedOn w:val="a0"/>
    <w:rsid w:val="0082217D"/>
  </w:style>
  <w:style w:type="paragraph" w:styleId="a3">
    <w:name w:val="Normal (Web)"/>
    <w:basedOn w:val="a"/>
    <w:uiPriority w:val="99"/>
    <w:semiHidden/>
    <w:unhideWhenUsed/>
    <w:rsid w:val="00932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o">
    <w:name w:val="mo"/>
    <w:basedOn w:val="a0"/>
    <w:rsid w:val="00932882"/>
  </w:style>
  <w:style w:type="character" w:customStyle="1" w:styleId="mn">
    <w:name w:val="mn"/>
    <w:basedOn w:val="a0"/>
    <w:rsid w:val="00932882"/>
  </w:style>
  <w:style w:type="paragraph" w:styleId="a4">
    <w:name w:val="List Paragraph"/>
    <w:basedOn w:val="a"/>
    <w:uiPriority w:val="34"/>
    <w:qFormat/>
    <w:rsid w:val="00DD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2018-10-08T07:36:00Z</dcterms:created>
  <dcterms:modified xsi:type="dcterms:W3CDTF">2018-10-15T06:35:00Z</dcterms:modified>
</cp:coreProperties>
</file>