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非官方模板 · 可编辑草稿 · 含大量【待填】 · 未经任何真实人员审核或签章</w:t>
      </w:r>
    </w:p>
    <w:p>
      <w:pPr>
        <w:pStyle w:val="Heading1"/>
      </w:pPr>
      <w:r>
        <w:t>经费预算建议表（草稿）</w:t>
      </w:r>
    </w:p>
    <w:p>
      <w:pPr>
        <w:ind w:left="360"/>
      </w:pPr>
      <w:r>
        <w:rPr>
          <w:b/>
        </w:rPr>
        <w:t>所有金额均为 `【待填】`</w:t>
      </w:r>
      <w:r>
        <w:t>：官方预算科目、经费上限、可列支范围未获得（官方原件未找到），</w:t>
      </w:r>
    </w:p>
    <w:p>
      <w:pPr>
        <w:ind w:left="360"/>
      </w:pPr>
      <w:r>
        <w:t>且金额只能由申请人与财务/科研管理部门确定。本表只给出</w:t>
      </w:r>
      <w:r>
        <w:rPr>
          <w:b/>
        </w:rPr>
        <w:t>预算方向与测算依据</w:t>
      </w:r>
      <w:r>
        <w:t>，不是预算数字。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科目方向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测算依据（人月/次数等，待填）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金额</w:t>
            </w:r>
          </w:p>
        </w:tc>
      </w:tr>
      <w:tr>
        <w:tc>
          <w:tcPr>
            <w:tcW w:type="dxa" w:w="2160"/>
          </w:tcPr>
          <w:p>
            <w:r/>
            <w:r>
              <w:t>专家审核劳务</w:t>
            </w:r>
          </w:p>
        </w:tc>
        <w:tc>
          <w:tcPr>
            <w:tcW w:type="dxa" w:w="2160"/>
          </w:tcPr>
          <w:p>
            <w:r/>
            <w:r>
              <w:t>两位教师审核 6 例病例、量表与难度校准；裁决人审核</w:t>
            </w:r>
          </w:p>
        </w:tc>
        <w:tc>
          <w:tcPr>
            <w:tcW w:type="dxa" w:w="2160"/>
          </w:tcPr>
          <w:p>
            <w:r/>
            <w:r>
              <w:t>教师数 × 病例数【待填】</w:t>
            </w:r>
          </w:p>
        </w:tc>
        <w:tc>
          <w:tcPr>
            <w:tcW w:type="dxa" w:w="2160"/>
          </w:tcPr>
          <w:p>
            <w:r/>
            <w:r>
              <w:t>【待填】</w:t>
            </w:r>
          </w:p>
        </w:tc>
      </w:tr>
      <w:tr>
        <w:tc>
          <w:tcPr>
            <w:tcW w:type="dxa" w:w="2160"/>
          </w:tcPr>
          <w:p>
            <w:r/>
            <w:r>
              <w:t>盲评劳务与培训</w:t>
            </w:r>
          </w:p>
        </w:tc>
        <w:tc>
          <w:tcPr>
            <w:tcW w:type="dxa" w:w="2160"/>
          </w:tcPr>
          <w:p>
            <w:r/>
            <w:r>
              <w:t>49 名学生最多 98 份答卷 × 2 位评分者 = 最多 196 份评分；评分者校准</w:t>
            </w:r>
          </w:p>
        </w:tc>
        <w:tc>
          <w:tcPr>
            <w:tcW w:type="dxa" w:w="2160"/>
          </w:tcPr>
          <w:p>
            <w:r/>
            <w:r>
              <w:t>份数 × 单份耗时【待填】</w:t>
            </w:r>
          </w:p>
        </w:tc>
        <w:tc>
          <w:tcPr>
            <w:tcW w:type="dxa" w:w="2160"/>
          </w:tcPr>
          <w:p>
            <w:r/>
            <w:r>
              <w:t>【待填】</w:t>
            </w:r>
          </w:p>
        </w:tc>
      </w:tr>
      <w:tr>
        <w:tc>
          <w:tcPr>
            <w:tcW w:type="dxa" w:w="2160"/>
          </w:tcPr>
          <w:p>
            <w:r/>
            <w:r>
              <w:t>数据管理与统计复核</w:t>
            </w:r>
          </w:p>
        </w:tc>
        <w:tc>
          <w:tcPr>
            <w:tcW w:type="dxa" w:w="2160"/>
          </w:tcPr>
          <w:p>
            <w:r/>
            <w:r>
              <w:t>数据冻结、两人独立复算、报告撰写</w:t>
            </w:r>
          </w:p>
        </w:tc>
        <w:tc>
          <w:tcPr>
            <w:tcW w:type="dxa" w:w="2160"/>
          </w:tcPr>
          <w:p>
            <w:r/>
            <w:r>
              <w:t>工时【待填】</w:t>
            </w:r>
          </w:p>
        </w:tc>
        <w:tc>
          <w:tcPr>
            <w:tcW w:type="dxa" w:w="2160"/>
          </w:tcPr>
          <w:p>
            <w:r/>
            <w:r>
              <w:t>【待填】</w:t>
            </w:r>
          </w:p>
        </w:tc>
      </w:tr>
      <w:tr>
        <w:tc>
          <w:tcPr>
            <w:tcW w:type="dxa" w:w="2160"/>
          </w:tcPr>
          <w:p>
            <w:r/>
            <w:r>
              <w:t>平台运维与备份</w:t>
            </w:r>
          </w:p>
        </w:tc>
        <w:tc>
          <w:tcPr>
            <w:tcW w:type="dxa" w:w="2160"/>
          </w:tcPr>
          <w:p>
            <w:r/>
            <w:r>
              <w:t>服务器、备份、版本核对、见习期间稳定运行</w:t>
            </w:r>
          </w:p>
        </w:tc>
        <w:tc>
          <w:tcPr>
            <w:tcW w:type="dxa" w:w="2160"/>
          </w:tcPr>
          <w:p>
            <w:r/>
            <w:r>
              <w:t>周期【待填】</w:t>
            </w:r>
          </w:p>
        </w:tc>
        <w:tc>
          <w:tcPr>
            <w:tcW w:type="dxa" w:w="2160"/>
          </w:tcPr>
          <w:p>
            <w:r/>
            <w:r>
              <w:t>【待填】</w:t>
            </w:r>
          </w:p>
        </w:tc>
      </w:tr>
      <w:tr>
        <w:tc>
          <w:tcPr>
            <w:tcW w:type="dxa" w:w="2160"/>
          </w:tcPr>
          <w:p>
            <w:r/>
            <w:r>
              <w:t>模型调用</w:t>
            </w:r>
          </w:p>
        </w:tc>
        <w:tc>
          <w:tcPr>
            <w:tcW w:type="dxa" w:w="2160"/>
          </w:tcPr>
          <w:p>
            <w:r/>
            <w:r>
              <w:t>训练阶段 AI 追问与说明改写（可降级为规则）</w:t>
            </w:r>
          </w:p>
        </w:tc>
        <w:tc>
          <w:tcPr>
            <w:tcW w:type="dxa" w:w="2160"/>
          </w:tcPr>
          <w:p>
            <w:r/>
            <w:r>
              <w:t>调用量【待填】</w:t>
            </w:r>
          </w:p>
        </w:tc>
        <w:tc>
          <w:tcPr>
            <w:tcW w:type="dxa" w:w="2160"/>
          </w:tcPr>
          <w:p>
            <w:r/>
            <w:r>
              <w:t>【待填】</w:t>
            </w:r>
          </w:p>
        </w:tc>
      </w:tr>
      <w:tr>
        <w:tc>
          <w:tcPr>
            <w:tcW w:type="dxa" w:w="2160"/>
          </w:tcPr>
          <w:p>
            <w:r/>
            <w:r>
              <w:t>成果整理与交流</w:t>
            </w:r>
          </w:p>
        </w:tc>
        <w:tc>
          <w:tcPr>
            <w:tcW w:type="dxa" w:w="2160"/>
          </w:tcPr>
          <w:p>
            <w:r/>
            <w:r>
              <w:t>手册印制、教学交流、论文版面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【待填】</w:t>
            </w:r>
          </w:p>
        </w:tc>
      </w:tr>
      <w:tr>
        <w:tc>
          <w:tcPr>
            <w:tcW w:type="dxa" w:w="2160"/>
          </w:tcPr>
          <w:p>
            <w:r/>
            <w:r>
              <w:t>合计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【待填】</w:t>
            </w:r>
          </w:p>
        </w:tc>
      </w:tr>
    </w:tbl>
    <w:p/>
    <w:p>
      <w:r>
        <w:t>注：</w:t>
      </w:r>
    </w:p>
    <w:p>
      <w:pPr>
        <w:pStyle w:val="ListNumber"/>
      </w:pPr>
      <w:r>
        <w:t>单位若已提供配套经费或课时折算，另列「配套」栏并附单位书面承诺；</w:t>
      </w:r>
    </w:p>
    <w:p>
      <w:pPr>
        <w:pStyle w:val="ListNumber"/>
      </w:pPr>
      <w:r>
        <w:t>不得列支官方通知禁止的科目（以原件为准，未获得前不得断言）；</w:t>
      </w:r>
    </w:p>
    <w:p>
      <w:pPr>
        <w:pStyle w:val="ListNumber"/>
      </w:pPr>
      <w:r>
        <w:t>学生参与者不设报酬以外的诱导；若设置补助须经伦理审查（【待填：是否设置】）。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