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F7929">
      <w:pPr>
        <w:ind w:left="0" w:leftChars="0" w:firstLine="0" w:firstLineChars="0"/>
        <w:rPr>
          <w:rFonts w:ascii="Times New Roman" w:hAnsi="Times New Roman" w:eastAsia="黑体"/>
          <w:color w:val="0070C0"/>
          <w:kern w:val="0"/>
          <w:sz w:val="56"/>
        </w:rPr>
      </w:pPr>
      <w:r>
        <w:rPr>
          <w:rFonts w:ascii="Times New Roman" w:hAnsi="Times New Roman" w:eastAsia="黑体"/>
          <w:color w:val="0070C0"/>
          <w:kern w:val="0"/>
          <w:sz w:val="56"/>
        </w:rPr>
        <w:drawing>
          <wp:inline distT="0" distB="0" distL="114300" distR="114300">
            <wp:extent cx="994410" cy="241300"/>
            <wp:effectExtent l="0" t="0" r="5715" b="6350"/>
            <wp:docPr id="10" name="图片 10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片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黑体"/>
          <w:color w:val="0070C0"/>
          <w:kern w:val="0"/>
          <w:sz w:val="56"/>
        </w:rPr>
        <w:br w:type="textWrapping"/>
      </w:r>
    </w:p>
    <w:p w14:paraId="61ECA914">
      <w:pPr>
        <w:pStyle w:val="31"/>
        <w:spacing w:line="240" w:lineRule="auto"/>
        <w:ind w:firstLine="0" w:firstLineChars="0"/>
        <w:rPr>
          <w:rFonts w:ascii="Times New Roman" w:hAnsi="Times New Roman"/>
          <w:szCs w:val="52"/>
        </w:rPr>
      </w:pPr>
      <w:r>
        <w:rPr>
          <w:rFonts w:ascii="黑体" w:hAnsi="黑体"/>
          <w:szCs w:val="52"/>
        </w:rPr>
        <w:t>盐城市公路事业发展中心</w:t>
      </w:r>
    </w:p>
    <w:p w14:paraId="50622A6F">
      <w:pPr>
        <w:pStyle w:val="31"/>
        <w:spacing w:line="240" w:lineRule="auto"/>
        <w:ind w:firstLine="0" w:firstLineChars="0"/>
        <w:rPr>
          <w:rFonts w:ascii="Times New Roman" w:hAnsi="Times New Roman"/>
          <w:szCs w:val="52"/>
        </w:rPr>
      </w:pPr>
      <w:r>
        <w:rPr>
          <w:rFonts w:hint="eastAsia" w:ascii="Times New Roman" w:hAnsi="Times New Roman"/>
          <w:szCs w:val="52"/>
          <w:lang w:val="en-US" w:eastAsia="zh-CN"/>
        </w:rPr>
        <w:t>综合</w:t>
      </w:r>
      <w:r>
        <w:rPr>
          <w:rFonts w:ascii="Times New Roman" w:hAnsi="Times New Roman"/>
          <w:szCs w:val="52"/>
        </w:rPr>
        <w:t>评估报告</w:t>
      </w:r>
    </w:p>
    <w:p w14:paraId="02C9F7FB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5827C049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4914FCB6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1937E836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2C0FEBBF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54994064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3311C59B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43FBEF25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0AE6412A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1003EE0C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176A672D">
      <w:pPr>
        <w:spacing w:line="240" w:lineRule="auto"/>
        <w:ind w:firstLine="0"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br w:type="textWrapping"/>
      </w:r>
    </w:p>
    <w:p w14:paraId="5E1A4B5F">
      <w:pPr>
        <w:pStyle w:val="27"/>
        <w:spacing w:line="240" w:lineRule="auto"/>
        <w:rPr>
          <w:rFonts w:ascii="Times New Roman" w:hAnsi="Times New Roman"/>
        </w:rPr>
      </w:pPr>
    </w:p>
    <w:p w14:paraId="78C57AD1">
      <w:pPr>
        <w:pStyle w:val="27"/>
        <w:spacing w:line="240" w:lineRule="auto"/>
        <w:ind w:firstLine="643"/>
        <w:rPr>
          <w:rFonts w:hint="default" w:ascii="Times New Roman" w:hAnsi="Times New Roman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32"/>
          <w:szCs w:val="32"/>
          <w:lang w:val="en-US" w:eastAsia="zh-CN"/>
        </w:rPr>
        <w:t>南京智诚达网络科技有限公司</w:t>
      </w:r>
    </w:p>
    <w:p w14:paraId="592A5C8C">
      <w:pPr>
        <w:pStyle w:val="26"/>
        <w:spacing w:line="240" w:lineRule="auto"/>
        <w:rPr>
          <w:rFonts w:ascii="Times New Roman" w:hAnsi="Times New Roman" w:eastAsia="宋体"/>
          <w:b/>
          <w:bCs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991" w:bottom="1440" w:left="993" w:header="851" w:footer="992" w:gutter="0"/>
          <w:cols w:space="720" w:num="1"/>
          <w:docGrid w:type="lines" w:linePitch="312" w:charSpace="0"/>
        </w:sectPr>
      </w:pPr>
      <w:r>
        <w:rPr>
          <w:rFonts w:ascii="Times New Roman" w:hAnsi="Times New Roman"/>
          <w:b/>
          <w:bCs/>
        </w:rPr>
        <w:t>2025</w:t>
      </w:r>
      <w:r>
        <w:rPr>
          <w:rFonts w:ascii="Times New Roman" w:hAnsi="Times New Roman" w:eastAsia="宋体"/>
          <w:b/>
          <w:bCs/>
          <w:sz w:val="32"/>
          <w:szCs w:val="32"/>
        </w:rPr>
        <w:t>年</w:t>
      </w:r>
      <w:r>
        <w:rPr>
          <w:rFonts w:ascii="Times New Roman" w:hAnsi="Times New Roman"/>
          <w:b/>
          <w:bCs/>
        </w:rPr>
        <w:t>1</w:t>
      </w:r>
      <w:r>
        <w:rPr>
          <w:rFonts w:hint="eastAsia" w:ascii="Times New Roman" w:hAnsi="Times New Roman"/>
          <w:b/>
          <w:bCs/>
          <w:lang w:val="en-US" w:eastAsia="zh-CN"/>
        </w:rPr>
        <w:t>2</w:t>
      </w:r>
      <w:r>
        <w:rPr>
          <w:rFonts w:ascii="Times New Roman" w:hAnsi="Times New Roman" w:eastAsia="宋体"/>
          <w:b/>
          <w:bCs/>
          <w:sz w:val="32"/>
          <w:szCs w:val="32"/>
        </w:rPr>
        <w:t>月</w:t>
      </w:r>
    </w:p>
    <w:p w14:paraId="302A3FF6">
      <w:pPr>
        <w:pStyle w:val="26"/>
        <w:spacing w:line="240" w:lineRule="auto"/>
        <w:jc w:val="both"/>
        <w:rPr>
          <w:rFonts w:ascii="Times New Roman" w:hAnsi="Times New Roman"/>
        </w:rPr>
      </w:pPr>
    </w:p>
    <w:sdt>
      <w:sdtPr>
        <w:rPr>
          <w:rFonts w:ascii="宋体" w:hAnsi="宋体"/>
          <w:sz w:val="21"/>
        </w:rPr>
        <w:id w:val="147452903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sz w:val="24"/>
        </w:rPr>
      </w:sdtEndPr>
      <w:sdtContent>
        <w:p w14:paraId="2E0958FB">
          <w:pPr>
            <w:spacing w:line="240" w:lineRule="auto"/>
            <w:ind w:firstLine="0" w:firstLineChars="0"/>
            <w:jc w:val="center"/>
          </w:pPr>
          <w:r>
            <w:rPr>
              <w:rStyle w:val="39"/>
            </w:rPr>
            <w:t>目录</w:t>
          </w:r>
        </w:p>
        <w:p w14:paraId="2CBD874E">
          <w:pPr>
            <w:pStyle w:val="13"/>
            <w:tabs>
              <w:tab w:val="right" w:leader="dot" w:pos="9922"/>
            </w:tabs>
          </w:pPr>
          <w:bookmarkStart w:id="33" w:name="_GoBack"/>
          <w:bookmarkEnd w:id="33"/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TOC \o "1-2" \h \u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_Toc10631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eastAsia"/>
              <w:bCs/>
              <w:szCs w:val="32"/>
            </w:rPr>
            <w:t xml:space="preserve">1 </w:t>
          </w:r>
          <w:r>
            <w:t>漏洞综述</w:t>
          </w:r>
          <w:r>
            <w:tab/>
          </w:r>
          <w:r>
            <w:fldChar w:fldCharType="begin"/>
          </w:r>
          <w:r>
            <w:instrText xml:space="preserve"> PAGEREF _Toc10631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2BDE85F8">
          <w:pPr>
            <w:pStyle w:val="15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_Toc16796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Cs/>
              <w:szCs w:val="30"/>
            </w:rPr>
            <w:t xml:space="preserve">1.1 </w:t>
          </w:r>
          <w:r>
            <w:rPr>
              <w:rFonts w:hint="eastAsia"/>
            </w:rPr>
            <w:t>漏洞风险等级分布</w:t>
          </w:r>
          <w:r>
            <w:tab/>
          </w:r>
          <w:r>
            <w:fldChar w:fldCharType="begin"/>
          </w:r>
          <w:r>
            <w:instrText xml:space="preserve"> PAGEREF _Toc16796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3807D37A">
          <w:pPr>
            <w:pStyle w:val="15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_Toc7023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Cs/>
              <w:szCs w:val="30"/>
            </w:rPr>
            <w:t xml:space="preserve">1.2 </w:t>
          </w:r>
          <w:r>
            <w:rPr>
              <w:rFonts w:hint="eastAsia"/>
            </w:rPr>
            <w:t>资产风险等级分布</w:t>
          </w:r>
          <w:r>
            <w:tab/>
          </w:r>
          <w:r>
            <w:fldChar w:fldCharType="begin"/>
          </w:r>
          <w:r>
            <w:instrText xml:space="preserve"> PAGEREF _Toc7023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5A3ED884">
          <w:pPr>
            <w:pStyle w:val="15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_Toc25264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Cs/>
              <w:szCs w:val="30"/>
            </w:rPr>
            <w:t xml:space="preserve">1.3 </w:t>
          </w:r>
          <w:r>
            <w:rPr>
              <w:rFonts w:hint="eastAsia"/>
            </w:rPr>
            <w:t>漏洞威胁分布</w:t>
          </w:r>
          <w:r>
            <w:tab/>
          </w:r>
          <w:r>
            <w:fldChar w:fldCharType="begin"/>
          </w:r>
          <w:r>
            <w:instrText xml:space="preserve"> PAGEREF _Toc25264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2F73BA7E">
          <w:pPr>
            <w:pStyle w:val="13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_Toc7662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eastAsia"/>
              <w:bCs/>
              <w:szCs w:val="32"/>
            </w:rPr>
            <w:t xml:space="preserve">2 </w:t>
          </w:r>
          <w:r>
            <w:rPr>
              <w:rFonts w:hint="eastAsia"/>
            </w:rPr>
            <w:t>资产风险概览</w:t>
          </w:r>
          <w:r>
            <w:tab/>
          </w:r>
          <w:r>
            <w:fldChar w:fldCharType="begin"/>
          </w:r>
          <w:r>
            <w:instrText xml:space="preserve"> PAGEREF _Toc7662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361608D9">
          <w:pPr>
            <w:pStyle w:val="13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_Toc19358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eastAsia"/>
              <w:bCs/>
              <w:szCs w:val="32"/>
            </w:rPr>
            <w:t xml:space="preserve">3 </w:t>
          </w:r>
          <w:r>
            <w:rPr>
              <w:rFonts w:hint="eastAsia"/>
            </w:rPr>
            <w:t>漏洞列表概览</w:t>
          </w:r>
          <w:r>
            <w:tab/>
          </w:r>
          <w:r>
            <w:fldChar w:fldCharType="begin"/>
          </w:r>
          <w:r>
            <w:instrText xml:space="preserve"> PAGEREF _Toc19358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1CB00BAB">
          <w:pPr>
            <w:pStyle w:val="13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_Toc11519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eastAsia"/>
              <w:bCs/>
              <w:szCs w:val="32"/>
            </w:rPr>
            <w:t xml:space="preserve">4 </w:t>
          </w:r>
          <w:r>
            <w:rPr>
              <w:rFonts w:hint="eastAsia"/>
            </w:rPr>
            <w:t>资产</w:t>
          </w:r>
          <w:r>
            <w:t>风险详情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6041F09F">
          <w:pPr>
            <w:pStyle w:val="15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_Toc28539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szCs w:val="32"/>
            </w:rPr>
            <w:t xml:space="preserve">4.1 </w:t>
          </w:r>
          <w:r>
            <w:t>高危风险资产详情</w:t>
          </w:r>
          <w:r>
            <w:tab/>
          </w:r>
          <w:r>
            <w:fldChar w:fldCharType="begin"/>
          </w:r>
          <w:r>
            <w:instrText xml:space="preserve"> PAGEREF _Toc28539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2037FB80">
          <w:pPr>
            <w:pStyle w:val="13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_Toc16990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eastAsia"/>
              <w:bCs/>
              <w:szCs w:val="32"/>
            </w:rPr>
            <w:t xml:space="preserve">5 </w:t>
          </w:r>
          <w:r>
            <w:t>主机服务探测</w:t>
          </w:r>
          <w:r>
            <w:tab/>
          </w:r>
          <w:r>
            <w:fldChar w:fldCharType="begin"/>
          </w:r>
          <w:r>
            <w:instrText xml:space="preserve"> PAGEREF _Toc16990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41A1DF9D">
          <w:pPr>
            <w:pStyle w:val="13"/>
            <w:tabs>
              <w:tab w:val="right" w:leader="dot" w:pos="9922"/>
            </w:tabs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HYPERLINK \l _Toc20514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hint="eastAsia"/>
              <w:bCs/>
              <w:szCs w:val="32"/>
            </w:rPr>
            <w:t xml:space="preserve">6 </w:t>
          </w:r>
          <w:r>
            <w:t>参考标准</w:t>
          </w:r>
          <w:r>
            <w:tab/>
          </w:r>
          <w:r>
            <w:fldChar w:fldCharType="begin"/>
          </w:r>
          <w:r>
            <w:instrText xml:space="preserve"> PAGEREF _Toc20514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/>
            </w:rPr>
            <w:fldChar w:fldCharType="end"/>
          </w:r>
        </w:p>
        <w:p w14:paraId="0D4644CE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end"/>
          </w:r>
        </w:p>
      </w:sdtContent>
    </w:sdt>
    <w:p w14:paraId="0571ACDB">
      <w:pPr>
        <w:rPr>
          <w:rFonts w:ascii="Times New Roman" w:hAnsi="Times New Roman"/>
        </w:rPr>
        <w:sectPr>
          <w:headerReference r:id="rId11" w:type="default"/>
          <w:footerReference r:id="rId12" w:type="default"/>
          <w:pgSz w:w="11906" w:h="16838"/>
          <w:pgMar w:top="1440" w:right="991" w:bottom="1440" w:left="993" w:header="851" w:footer="992" w:gutter="0"/>
          <w:pgNumType w:start="1"/>
          <w:cols w:space="720" w:num="1"/>
          <w:docGrid w:type="lines" w:linePitch="312" w:charSpace="0"/>
        </w:sectPr>
      </w:pPr>
    </w:p>
    <w:p w14:paraId="58451848">
      <w:pPr>
        <w:pStyle w:val="2"/>
        <w:spacing w:before="163" w:after="163"/>
      </w:pPr>
      <w:bookmarkStart w:id="0" w:name="_Toc82094111"/>
      <w:bookmarkStart w:id="1" w:name="_Toc256000003"/>
      <w:bookmarkStart w:id="2" w:name="_Toc14838"/>
      <w:bookmarkStart w:id="3" w:name="_Toc10631"/>
      <w:r>
        <w:t>漏洞综述</w:t>
      </w:r>
      <w:bookmarkEnd w:id="0"/>
      <w:bookmarkEnd w:id="1"/>
      <w:bookmarkEnd w:id="2"/>
      <w:bookmarkEnd w:id="3"/>
    </w:p>
    <w:p w14:paraId="060D4C16">
      <w:pPr>
        <w:rPr>
          <w:rFonts w:ascii="Times New Roman" w:hAnsi="Times New Roman"/>
        </w:rPr>
      </w:pPr>
      <w:r>
        <w:rPr>
          <w:rFonts w:ascii="Times New Roman" w:hAnsi="Times New Roman"/>
        </w:rPr>
        <w:t>本次</w:t>
      </w:r>
      <w:r>
        <w:rPr>
          <w:rFonts w:hint="eastAsia" w:ascii="Times New Roman" w:hAnsi="Times New Roman"/>
        </w:rPr>
        <w:t>评估资产</w:t>
      </w:r>
      <w:r>
        <w:rPr>
          <w:rFonts w:ascii="Times New Roman" w:hAnsi="Times New Roman"/>
        </w:rPr>
        <w:t>512</w:t>
      </w:r>
      <w:r>
        <w:rPr>
          <w:rFonts w:hint="eastAsia" w:ascii="Times New Roman" w:hAnsi="Times New Roman"/>
        </w:rPr>
        <w:t>个</w:t>
      </w:r>
      <w:r>
        <w:rPr>
          <w:rFonts w:ascii="Times New Roman" w:hAnsi="Times New Roman"/>
        </w:rPr>
        <w:t>，其中存活</w:t>
      </w:r>
      <w:r>
        <w:rPr>
          <w:rFonts w:hint="eastAsia" w:ascii="Times New Roman" w:hAnsi="Times New Roman"/>
        </w:rPr>
        <w:t>资产</w:t>
      </w: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个。共发现</w:t>
      </w:r>
      <w:r>
        <w:rPr>
          <w:rFonts w:ascii="Times New Roman" w:hAnsi="Times New Roman"/>
        </w:rPr>
        <w:t>高危漏洞1个，中危漏洞0个，低危漏洞0个，</w:t>
      </w:r>
      <w:r>
        <w:rPr>
          <w:rFonts w:hint="eastAsia" w:ascii="Times New Roman" w:hAnsi="Times New Roman"/>
        </w:rPr>
        <w:t>其中高危资产1个，建议优先修复危害高的漏洞。</w:t>
      </w:r>
    </w:p>
    <w:p w14:paraId="3FDD9E70">
      <w:pPr>
        <w:pStyle w:val="3"/>
        <w:numPr>
          <w:ilvl w:val="1"/>
          <w:numId w:val="3"/>
        </w:numPr>
        <w:spacing w:before="163" w:after="163"/>
      </w:pPr>
      <w:bookmarkStart w:id="4" w:name="_Toc16796"/>
      <w:r>
        <w:rPr>
          <w:rFonts w:hint="eastAsia"/>
        </w:rPr>
        <w:t>漏洞风险等级分布</w:t>
      </w:r>
      <w:bookmarkEnd w:id="4"/>
    </w:p>
    <w:p w14:paraId="19705E04">
      <w:pPr>
        <w:ind w:firstLine="0" w:firstLineChars="0"/>
        <w:jc w:val="center"/>
      </w:pPr>
      <w:r>
        <w:drawing>
          <wp:inline distT="0" distB="0" distL="0" distR="0">
            <wp:extent cx="4895850" cy="2447925"/>
            <wp:effectExtent l="0" t="0" r="0" b="0"/>
            <wp:docPr id="2" name="图片 2" descr="D:\Users\User\MYDOCU~1\MobaXterm\slash\RemoteFiles\711264882_3_39\163116808421627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Users\User\MYDOCU~1\MobaXterm\slash\RemoteFiles\711264882_3_39\1631168084216275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E5D76">
      <w:pPr>
        <w:ind w:firstLine="0" w:firstLineChars="0"/>
        <w:rPr>
          <w:rFonts w:hint="eastAsia" w:ascii="Times New Roman" w:hAnsi="Times New Roman"/>
        </w:rPr>
      </w:pPr>
    </w:p>
    <w:p w14:paraId="19F87E3C">
      <w:pPr>
        <w:pStyle w:val="3"/>
        <w:numPr>
          <w:ilvl w:val="1"/>
          <w:numId w:val="3"/>
        </w:numPr>
        <w:spacing w:before="163" w:after="163"/>
      </w:pPr>
      <w:bookmarkStart w:id="5" w:name="_Toc82094113"/>
      <w:bookmarkStart w:id="6" w:name="_Toc82092982"/>
      <w:bookmarkStart w:id="7" w:name="_Toc7023"/>
      <w:r>
        <w:rPr>
          <w:rFonts w:hint="eastAsia"/>
        </w:rPr>
        <w:t>资产风险等级分布</w:t>
      </w:r>
      <w:bookmarkEnd w:id="5"/>
      <w:bookmarkEnd w:id="6"/>
      <w:bookmarkEnd w:id="7"/>
    </w:p>
    <w:p w14:paraId="6DA49EDA">
      <w:pPr>
        <w:ind w:firstLine="0" w:firstLineChars="0"/>
        <w:jc w:val="center"/>
        <w:rPr>
          <w:rFonts w:ascii="Times New Roman" w:hAnsi="Times New Roman"/>
        </w:rPr>
      </w:pPr>
      <w:r>
        <w:drawing>
          <wp:inline distT="0" distB="0" distL="0" distR="0">
            <wp:extent cx="4895850" cy="2447925"/>
            <wp:effectExtent l="0" t="0" r="0" b="0"/>
            <wp:docPr id="3" name="图片 3" descr="D:\Users\User\MYDOCU~1\MobaXterm\slash\RemoteFiles\711264882_3_41\163116823246594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Users\User\MYDOCU~1\MobaXterm\slash\RemoteFiles\711264882_3_41\1631168232465949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FAED">
      <w:pPr>
        <w:pStyle w:val="3"/>
        <w:numPr>
          <w:ilvl w:val="1"/>
          <w:numId w:val="3"/>
        </w:numPr>
        <w:spacing w:before="163" w:after="163"/>
      </w:pPr>
      <w:bookmarkStart w:id="8" w:name="_Toc82094114"/>
      <w:bookmarkStart w:id="9" w:name="_Toc82092983"/>
      <w:bookmarkStart w:id="10" w:name="_Toc25264"/>
      <w:r>
        <w:rPr>
          <w:rFonts w:hint="eastAsia"/>
        </w:rPr>
        <w:t>漏洞威胁分布</w:t>
      </w:r>
      <w:bookmarkEnd w:id="8"/>
      <w:bookmarkEnd w:id="9"/>
      <w:bookmarkEnd w:id="10"/>
    </w:p>
    <w:p w14:paraId="1DEDF3D2">
      <w:pPr>
        <w:ind w:firstLine="0" w:firstLineChars="0"/>
        <w:jc w:val="center"/>
        <w:rPr>
          <w:rFonts w:ascii="Times New Roman" w:hAnsi="Times New Roman"/>
        </w:rPr>
      </w:pPr>
      <w:r>
        <w:drawing>
          <wp:inline distT="0" distB="0" distL="0" distR="0">
            <wp:extent cx="4895850" cy="2447925"/>
            <wp:effectExtent l="0" t="0" r="0" b="0"/>
            <wp:docPr id="1" name="图片 1" descr="D:\Users\User\MYDOCU~1\MobaXterm\slash\RemoteFiles\711264882_3_42\16311683977816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Users\User\MYDOCU~1\MobaXterm\slash\RemoteFiles\711264882_3_42\1631168397781620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4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71D6">
      <w:pPr>
        <w:pStyle w:val="2"/>
        <w:spacing w:before="163" w:after="163"/>
      </w:pPr>
      <w:bookmarkStart w:id="11" w:name="_Toc82094116"/>
      <w:bookmarkStart w:id="12" w:name="_Toc82092985"/>
      <w:bookmarkStart w:id="13" w:name="_Toc7662"/>
      <w:r>
        <w:rPr>
          <w:rFonts w:hint="eastAsia"/>
        </w:rPr>
        <w:t>资产风险概览</w:t>
      </w:r>
      <w:bookmarkEnd w:id="11"/>
      <w:bookmarkEnd w:id="12"/>
      <w:bookmarkEnd w:id="13"/>
    </w:p>
    <w:p w14:paraId="6986C4A1">
      <w:pPr>
        <w:rPr>
          <w:rFonts w:ascii="Times New Roman" w:hAnsi="Times New Roman"/>
        </w:rPr>
      </w:pPr>
      <w:r>
        <w:rPr>
          <w:rFonts w:ascii="宋体" w:hAnsi="宋体"/>
        </w:rPr>
        <w:t>本次评估服务，我们对您的信息资产进行了全面的评估扫描，发现风险的资产如下：</w:t>
      </w:r>
    </w:p>
    <w:p w14:paraId="33577E26"/>
    <w:tbl>
      <w:tblPr>
        <w:tblStyle w:val="17"/>
        <w:tblW w:w="100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1576"/>
        <w:gridCol w:w="1134"/>
        <w:gridCol w:w="1276"/>
        <w:gridCol w:w="1134"/>
        <w:gridCol w:w="1134"/>
        <w:gridCol w:w="1134"/>
        <w:gridCol w:w="1627"/>
      </w:tblGrid>
      <w:tr w14:paraId="4E43B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dxa"/>
            <w:shd w:val="clear" w:color="auto" w:fill="BFBFBF"/>
            <w:vAlign w:val="center"/>
          </w:tcPr>
          <w:p w14:paraId="21E3B3A0">
            <w:pPr>
              <w:ind w:firstLine="0" w:firstLineChars="0"/>
              <w:jc w:val="center"/>
              <w:rPr>
                <w:rStyle w:val="23"/>
                <w:rFonts w:ascii="Times New Roman" w:hAnsi="Times New Roman"/>
              </w:rPr>
            </w:pPr>
            <w:r>
              <w:rPr>
                <w:rStyle w:val="23"/>
                <w:rFonts w:hint="eastAsia" w:ascii="Times New Roman" w:hAnsi="Times New Roman"/>
              </w:rPr>
              <w:t>序号</w:t>
            </w:r>
          </w:p>
        </w:tc>
        <w:tc>
          <w:tcPr>
            <w:tcW w:w="1576" w:type="dxa"/>
            <w:shd w:val="clear" w:color="auto" w:fill="BFBFBF"/>
            <w:vAlign w:val="center"/>
          </w:tcPr>
          <w:p w14:paraId="6C4CCB84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Style w:val="23"/>
                <w:rFonts w:ascii="Times New Roman" w:hAnsi="Times New Roman"/>
              </w:rPr>
              <w:t>IP</w:t>
            </w:r>
            <w:r>
              <w:rPr>
                <w:rStyle w:val="23"/>
                <w:rFonts w:hint="eastAsia" w:ascii="Times New Roman" w:hAnsi="Times New Roman"/>
              </w:rPr>
              <w:t>/</w:t>
            </w:r>
            <w:r>
              <w:rPr>
                <w:rStyle w:val="23"/>
                <w:rFonts w:ascii="Times New Roman" w:hAnsi="Times New Roman"/>
              </w:rPr>
              <w:t>URL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3D68DA61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Style w:val="23"/>
                <w:rFonts w:ascii="Times New Roman" w:hAnsi="Times New Roman"/>
              </w:rPr>
              <w:t>高</w:t>
            </w:r>
          </w:p>
        </w:tc>
        <w:tc>
          <w:tcPr>
            <w:tcW w:w="1276" w:type="dxa"/>
            <w:shd w:val="clear" w:color="auto" w:fill="BFBFBF"/>
            <w:vAlign w:val="center"/>
          </w:tcPr>
          <w:p w14:paraId="472B79D6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Style w:val="23"/>
                <w:rFonts w:ascii="Times New Roman" w:hAnsi="Times New Roman"/>
              </w:rPr>
              <w:t>中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561F55A9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Style w:val="23"/>
                <w:rFonts w:ascii="Times New Roman" w:hAnsi="Times New Roman"/>
              </w:rPr>
              <w:t>低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5DD93B59">
            <w:pPr>
              <w:ind w:firstLine="0" w:firstLineChars="0"/>
              <w:jc w:val="center"/>
              <w:rPr>
                <w:rStyle w:val="23"/>
                <w:rFonts w:ascii="宋体" w:hAnsi="宋体"/>
              </w:rPr>
            </w:pPr>
            <w:r>
              <w:rPr>
                <w:rStyle w:val="23"/>
                <w:rFonts w:hint="eastAsia" w:ascii="Times New Roman" w:hAnsi="Times New Roman"/>
              </w:rPr>
              <w:t>信息</w:t>
            </w:r>
          </w:p>
        </w:tc>
        <w:tc>
          <w:tcPr>
            <w:tcW w:w="1134" w:type="dxa"/>
            <w:shd w:val="clear" w:color="auto" w:fill="BFBFBF"/>
            <w:vAlign w:val="center"/>
          </w:tcPr>
          <w:p w14:paraId="01807683">
            <w:pPr>
              <w:ind w:firstLine="0" w:firstLineChars="0"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Style w:val="23"/>
                <w:rFonts w:hint="eastAsia" w:ascii="Times New Roman" w:hAnsi="Times New Roman"/>
              </w:rPr>
              <w:t>总计</w:t>
            </w:r>
          </w:p>
        </w:tc>
        <w:tc>
          <w:tcPr>
            <w:tcW w:w="1627" w:type="dxa"/>
            <w:shd w:val="clear" w:color="auto" w:fill="BFBFBF"/>
            <w:vAlign w:val="center"/>
          </w:tcPr>
          <w:p w14:paraId="5C3F2385">
            <w:pPr>
              <w:ind w:firstLine="0" w:firstLineChars="0"/>
              <w:jc w:val="center"/>
              <w:rPr>
                <w:rStyle w:val="23"/>
                <w:rFonts w:ascii="Times New Roman" w:hAnsi="Times New Roman"/>
              </w:rPr>
            </w:pPr>
            <w:r>
              <w:rPr>
                <w:rStyle w:val="23"/>
                <w:rFonts w:hint="eastAsia" w:ascii="Times New Roman" w:hAnsi="Times New Roman"/>
              </w:rPr>
              <w:t>资产风险等级</w:t>
            </w:r>
          </w:p>
        </w:tc>
      </w:tr>
      <w:tr w14:paraId="4BEA2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" w:type="dxa"/>
            <w:vAlign w:val="center"/>
          </w:tcPr>
          <w:p w14:paraId="3F78E833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hint="eastAsia" w:ascii="宋体" w:hAnsi="宋体" w:eastAsia="宋体"/>
                <w:b w:val="0"/>
              </w:rPr>
              <w:t>1</w:t>
            </w:r>
          </w:p>
        </w:tc>
        <w:tc>
          <w:tcPr>
            <w:tcW w:w="1576" w:type="dxa"/>
            <w:vAlign w:val="center"/>
          </w:tcPr>
          <w:p w14:paraId="69F52CFC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ascii="宋体" w:hAnsi="宋体" w:eastAsia="宋体"/>
                <w:b w:val="0"/>
              </w:rPr>
              <w:t>10.50.144.161</w:t>
            </w:r>
          </w:p>
        </w:tc>
        <w:tc>
          <w:tcPr>
            <w:tcW w:w="1134" w:type="dxa"/>
            <w:vAlign w:val="center"/>
          </w:tcPr>
          <w:p w14:paraId="1D00DF0E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ascii="宋体" w:hAnsi="宋体" w:eastAsia="宋体"/>
                <w:b w:val="0"/>
              </w:rPr>
              <w:t>1</w:t>
            </w:r>
          </w:p>
        </w:tc>
        <w:tc>
          <w:tcPr>
            <w:tcW w:w="1276" w:type="dxa"/>
            <w:vAlign w:val="center"/>
          </w:tcPr>
          <w:p w14:paraId="2A23D519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ascii="宋体" w:hAnsi="宋体" w:eastAsia="宋体"/>
                <w:b w:val="0"/>
              </w:rPr>
              <w:t>0</w:t>
            </w:r>
          </w:p>
        </w:tc>
        <w:tc>
          <w:tcPr>
            <w:tcW w:w="1134" w:type="dxa"/>
            <w:vAlign w:val="center"/>
          </w:tcPr>
          <w:p w14:paraId="44B42A16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ascii="宋体" w:hAnsi="宋体" w:eastAsia="宋体"/>
                <w:b w:val="0"/>
              </w:rPr>
              <w:t>0</w:t>
            </w:r>
          </w:p>
        </w:tc>
        <w:tc>
          <w:tcPr>
            <w:tcW w:w="1134" w:type="dxa"/>
            <w:vAlign w:val="center"/>
          </w:tcPr>
          <w:p w14:paraId="2263E669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ascii="宋体" w:hAnsi="宋体" w:eastAsia="宋体"/>
                <w:b w:val="0"/>
              </w:rPr>
              <w:t>0</w:t>
            </w:r>
          </w:p>
        </w:tc>
        <w:tc>
          <w:tcPr>
            <w:tcW w:w="1134" w:type="dxa"/>
            <w:vAlign w:val="center"/>
          </w:tcPr>
          <w:p w14:paraId="3508437A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ascii="宋体" w:hAnsi="宋体" w:eastAsia="宋体"/>
                <w:b w:val="0"/>
              </w:rPr>
              <w:t>1</w:t>
            </w:r>
          </w:p>
        </w:tc>
        <w:tc>
          <w:tcPr>
            <w:tcW w:w="1627" w:type="dxa"/>
            <w:vAlign w:val="center"/>
          </w:tcPr>
          <w:p w14:paraId="0B77702C">
            <w:pPr>
              <w:ind w:firstLine="0" w:firstLineChars="0"/>
              <w:jc w:val="center"/>
              <w:rPr>
                <w:rStyle w:val="23"/>
                <w:rFonts w:ascii="宋体" w:hAnsi="宋体" w:eastAsia="宋体"/>
                <w:b w:val="0"/>
              </w:rPr>
            </w:pPr>
            <w:r>
              <w:rPr>
                <w:rStyle w:val="23"/>
                <w:rFonts w:hint="eastAsia" w:ascii="宋体" w:hAnsi="宋体" w:eastAsia="宋体"/>
                <w:b w:val="0"/>
              </w:rPr>
              <w:t>高危</w:t>
            </w:r>
          </w:p>
        </w:tc>
      </w:tr>
    </w:tbl>
    <w:p w14:paraId="2CB3994E">
      <w:pPr>
        <w:pStyle w:val="2"/>
        <w:spacing w:before="163" w:after="163"/>
      </w:pPr>
      <w:bookmarkStart w:id="14" w:name="_Toc82092986"/>
      <w:bookmarkStart w:id="15" w:name="_Toc82094117"/>
      <w:bookmarkStart w:id="16" w:name="_Toc19358"/>
      <w:r>
        <w:rPr>
          <w:rFonts w:hint="eastAsia"/>
        </w:rPr>
        <w:t>漏洞列表概览</w:t>
      </w:r>
      <w:bookmarkEnd w:id="14"/>
      <w:bookmarkEnd w:id="15"/>
      <w:bookmarkEnd w:id="16"/>
    </w:p>
    <w:tbl>
      <w:tblPr>
        <w:tblStyle w:val="17"/>
        <w:tblW w:w="101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2"/>
        <w:gridCol w:w="4619"/>
        <w:gridCol w:w="1704"/>
        <w:gridCol w:w="1560"/>
      </w:tblGrid>
      <w:tr w14:paraId="29A63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2222" w:type="dxa"/>
            <w:shd w:val="clear" w:color="auto" w:fill="BFBFBF"/>
            <w:vAlign w:val="center"/>
          </w:tcPr>
          <w:p w14:paraId="299F2B59">
            <w:pPr>
              <w:pStyle w:val="33"/>
              <w:rPr>
                <w:szCs w:val="21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4619" w:type="dxa"/>
            <w:shd w:val="clear" w:color="auto" w:fill="BFBFBF"/>
            <w:vAlign w:val="center"/>
          </w:tcPr>
          <w:p w14:paraId="56D6C935">
            <w:pPr>
              <w:pStyle w:val="33"/>
            </w:pPr>
            <w:r>
              <w:rPr>
                <w:rFonts w:hint="eastAsia"/>
                <w:b/>
                <w:bCs/>
              </w:rPr>
              <w:t>漏洞名称</w:t>
            </w:r>
          </w:p>
        </w:tc>
        <w:tc>
          <w:tcPr>
            <w:tcW w:w="1704" w:type="dxa"/>
            <w:shd w:val="clear" w:color="auto" w:fill="BFBFBF"/>
            <w:vAlign w:val="center"/>
          </w:tcPr>
          <w:p w14:paraId="5B49B550">
            <w:pPr>
              <w:pStyle w:val="3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漏洞等级</w:t>
            </w:r>
          </w:p>
        </w:tc>
        <w:tc>
          <w:tcPr>
            <w:tcW w:w="1560" w:type="dxa"/>
            <w:shd w:val="clear" w:color="auto" w:fill="BFBFBF"/>
            <w:vAlign w:val="center"/>
          </w:tcPr>
          <w:p w14:paraId="3ED5774E">
            <w:pPr>
              <w:pStyle w:val="33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出现次数</w:t>
            </w:r>
          </w:p>
        </w:tc>
      </w:tr>
      <w:tr w14:paraId="6275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222" w:type="dxa"/>
            <w:shd w:val="clear" w:color="auto" w:fill="FFFFFF" w:themeFill="background1"/>
            <w:vAlign w:val="center"/>
          </w:tcPr>
          <w:p w14:paraId="565566D8">
            <w:pPr>
              <w:pStyle w:val="33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</w:t>
            </w:r>
          </w:p>
        </w:tc>
        <w:tc>
          <w:tcPr>
            <w:tcW w:w="4619" w:type="dxa"/>
            <w:shd w:val="clear" w:color="auto" w:fill="FFFFFF" w:themeFill="background1"/>
            <w:vAlign w:val="center"/>
          </w:tcPr>
          <w:p w14:paraId="2212AEC0">
            <w:pPr>
              <w:pStyle w:val="33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CORS(跨站资源共享)原始验证失败</w:t>
            </w:r>
          </w:p>
        </w:tc>
        <w:tc>
          <w:tcPr>
            <w:tcW w:w="1704" w:type="dxa"/>
            <w:shd w:val="clear" w:color="auto" w:fill="FFFFFF" w:themeFill="background1"/>
            <w:vAlign w:val="center"/>
          </w:tcPr>
          <w:p w14:paraId="260208ED">
            <w:pPr>
              <w:pStyle w:val="33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高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14:paraId="2C5EFCBC">
            <w:pPr>
              <w:pStyle w:val="33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1</w:t>
            </w:r>
          </w:p>
        </w:tc>
      </w:tr>
    </w:tbl>
    <w:p w14:paraId="6DC33AB6">
      <w:pPr>
        <w:pStyle w:val="2"/>
        <w:spacing w:before="163" w:after="163"/>
      </w:pPr>
      <w:bookmarkStart w:id="17" w:name="_Toc3775"/>
      <w:bookmarkStart w:id="18" w:name="_Toc256000004"/>
      <w:bookmarkStart w:id="19" w:name="_Toc82094118"/>
      <w:bookmarkStart w:id="20" w:name="_Toc11519"/>
      <w:r>
        <w:rPr>
          <w:rFonts w:hint="eastAsia"/>
        </w:rPr>
        <w:t>资产</w:t>
      </w:r>
      <w:r>
        <w:t>风险详情</w:t>
      </w:r>
      <w:bookmarkEnd w:id="17"/>
      <w:bookmarkEnd w:id="18"/>
      <w:bookmarkEnd w:id="19"/>
      <w:bookmarkEnd w:id="20"/>
    </w:p>
    <w:p w14:paraId="39D4BE19">
      <w:pPr>
        <w:pStyle w:val="3"/>
        <w:spacing w:before="163" w:after="163"/>
      </w:pPr>
      <w:bookmarkStart w:id="21" w:name="_Toc6824"/>
      <w:bookmarkStart w:id="22" w:name="_Toc82094119"/>
      <w:bookmarkStart w:id="23" w:name="_Toc28539"/>
      <w:r>
        <w:t>高危风险资产详情</w:t>
      </w:r>
      <w:bookmarkEnd w:id="21"/>
      <w:bookmarkEnd w:id="22"/>
      <w:bookmarkEnd w:id="23"/>
    </w:p>
    <w:p w14:paraId="33967D06">
      <w:pPr>
        <w:pStyle w:val="4"/>
        <w:wordWrap w:val="0"/>
        <w:spacing w:before="163" w:after="163"/>
      </w:pPr>
      <w:r>
        <w:rPr>
          <w:rFonts w:hint="eastAsia"/>
        </w:rPr>
        <w:t>资产: 10.50.144.161</w:t>
      </w:r>
    </w:p>
    <w:tbl>
      <w:tblPr>
        <w:tblStyle w:val="1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1"/>
        <w:gridCol w:w="1046"/>
        <w:gridCol w:w="5975"/>
      </w:tblGrid>
      <w:tr w14:paraId="7DF31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BEBEBE"/>
            <w:vAlign w:val="center"/>
          </w:tcPr>
          <w:p w14:paraId="78792011">
            <w:pPr>
              <w:ind w:firstLine="0" w:firstLineChars="0"/>
              <w:jc w:val="center"/>
              <w:rPr>
                <w:rStyle w:val="23"/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23"/>
                <w:rFonts w:ascii="Times New Roman" w:hAnsi="Times New Roman" w:eastAsia="宋体" w:cs="Times New Roman"/>
                <w:sz w:val="21"/>
                <w:szCs w:val="21"/>
              </w:rPr>
              <w:t>漏洞名称</w:t>
            </w:r>
          </w:p>
        </w:tc>
        <w:tc>
          <w:tcPr>
            <w:tcW w:w="7021" w:type="dxa"/>
            <w:gridSpan w:val="2"/>
            <w:shd w:val="clear" w:color="auto" w:fill="BEBEBE"/>
            <w:vAlign w:val="center"/>
          </w:tcPr>
          <w:p w14:paraId="512991BC">
            <w:pPr>
              <w:ind w:firstLine="0" w:firstLineChars="0"/>
              <w:jc w:val="left"/>
              <w:rPr>
                <w:rStyle w:val="23"/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23"/>
                <w:rFonts w:ascii="Times New Roman" w:hAnsi="Times New Roman" w:eastAsia="宋体"/>
                <w:sz w:val="21"/>
                <w:szCs w:val="21"/>
              </w:rPr>
              <w:t>CORS(跨站资源共享)原始验证失败【原理扫描】</w:t>
            </w:r>
          </w:p>
        </w:tc>
      </w:tr>
      <w:tr w14:paraId="6DE6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50E8212F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风险等级：</w:t>
            </w:r>
          </w:p>
        </w:tc>
        <w:tc>
          <w:tcPr>
            <w:tcW w:w="7021" w:type="dxa"/>
            <w:gridSpan w:val="2"/>
            <w:vAlign w:val="center"/>
          </w:tcPr>
          <w:p w14:paraId="7ED74AC2">
            <w:pPr>
              <w:ind w:firstLine="0" w:firstLineChars="0"/>
              <w:jc w:val="left"/>
              <w:rPr>
                <w:rFonts w:ascii="Times New Roman" w:hAnsi="Times New Roman" w:eastAsia="微软雅黑"/>
                <w:b/>
                <w:sz w:val="21"/>
                <w:szCs w:val="21"/>
              </w:rPr>
            </w:pPr>
            <w:r>
              <w:rPr>
                <w:rStyle w:val="23"/>
                <w:rFonts w:ascii="Times New Roman" w:hAnsi="Times New Roman" w:eastAsia="宋体"/>
                <w:b w:val="0"/>
                <w:sz w:val="21"/>
                <w:szCs w:val="21"/>
              </w:rPr>
              <w:t>高</w:t>
            </w:r>
          </w:p>
        </w:tc>
      </w:tr>
      <w:tr w14:paraId="3FDA5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42FEBDFF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高可利用：</w:t>
            </w:r>
          </w:p>
        </w:tc>
        <w:tc>
          <w:tcPr>
            <w:tcW w:w="7021" w:type="dxa"/>
            <w:gridSpan w:val="2"/>
            <w:vAlign w:val="center"/>
          </w:tcPr>
          <w:p w14:paraId="55B67D47">
            <w:pPr>
              <w:ind w:firstLine="0" w:firstLineChars="0"/>
              <w:jc w:val="left"/>
              <w:rPr>
                <w:rStyle w:val="23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23"/>
                <w:rFonts w:hint="eastAsia" w:ascii="Times New Roman" w:hAnsi="Times New Roman" w:eastAsia="宋体"/>
                <w:b w:val="0"/>
                <w:sz w:val="21"/>
                <w:szCs w:val="21"/>
              </w:rPr>
              <w:t>否</w:t>
            </w:r>
          </w:p>
        </w:tc>
      </w:tr>
      <w:tr w14:paraId="76CD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02521F3F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CVE编号：</w:t>
            </w:r>
          </w:p>
        </w:tc>
        <w:tc>
          <w:tcPr>
            <w:tcW w:w="7021" w:type="dxa"/>
            <w:gridSpan w:val="2"/>
            <w:vAlign w:val="center"/>
          </w:tcPr>
          <w:p w14:paraId="348CE3FE">
            <w:pPr>
              <w:ind w:firstLine="0" w:firstLineChars="0"/>
              <w:jc w:val="left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/>
                <w:sz w:val="21"/>
                <w:szCs w:val="21"/>
              </w:rPr>
              <w:t>-</w:t>
            </w:r>
          </w:p>
        </w:tc>
      </w:tr>
      <w:tr w14:paraId="07B22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23217620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端口(服务)：</w:t>
            </w:r>
          </w:p>
        </w:tc>
        <w:tc>
          <w:tcPr>
            <w:tcW w:w="7021" w:type="dxa"/>
            <w:gridSpan w:val="2"/>
            <w:vAlign w:val="center"/>
          </w:tcPr>
          <w:p w14:paraId="75DF8159">
            <w:pPr>
              <w:ind w:firstLine="0" w:firstLineChars="0"/>
              <w:jc w:val="left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/>
                <w:sz w:val="21"/>
                <w:szCs w:val="21"/>
              </w:rPr>
              <w:t>-</w:t>
            </w:r>
          </w:p>
        </w:tc>
      </w:tr>
      <w:tr w14:paraId="015C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406538B2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风险描述：</w:t>
            </w:r>
          </w:p>
        </w:tc>
        <w:tc>
          <w:tcPr>
            <w:tcW w:w="7021" w:type="dxa"/>
            <w:gridSpan w:val="2"/>
            <w:vAlign w:val="center"/>
          </w:tcPr>
          <w:p w14:paraId="302064BB">
            <w:pPr>
              <w:ind w:firstLine="0" w:firstLineChars="0"/>
              <w:jc w:val="left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sz w:val="21"/>
                <w:szCs w:val="21"/>
              </w:rPr>
              <w:t>CORS漏洞是当前服务器对跨源资源的配置不当，导致允许任意源来共享服务器资源，从而导致用户数据泄露、客户端缓存中毒或者服务端缓存中毒。</w:t>
            </w:r>
          </w:p>
        </w:tc>
      </w:tr>
      <w:tr w14:paraId="1485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7BE81570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风险</w:t>
            </w:r>
            <w:r>
              <w:rPr>
                <w:rFonts w:ascii="Times New Roman" w:hAnsi="Times New Roman"/>
                <w:sz w:val="21"/>
                <w:szCs w:val="21"/>
              </w:rPr>
              <w:t>影响：</w:t>
            </w:r>
          </w:p>
        </w:tc>
        <w:tc>
          <w:tcPr>
            <w:tcW w:w="7021" w:type="dxa"/>
            <w:gridSpan w:val="2"/>
            <w:vAlign w:val="center"/>
          </w:tcPr>
          <w:p w14:paraId="79EEDEFF">
            <w:pPr>
              <w:ind w:firstLine="0" w:firstLineChars="0"/>
              <w:jc w:val="left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sz w:val="21"/>
                <w:szCs w:val="21"/>
              </w:rPr>
              <w:t>1、获取用户数据,2、客户端缓存中毒：这种配置允许攻击者利用其他的漏洞，更改没有验证的字段，看是否正常回显。比如，一个应用返回数据报文头部中包含“X-User”这个字段，这个字段的值没有经过验证就直接输出到返回页面上，此时就可以结合XSS漏洞来利用,3、服务端缓存中毒：利用CORS的错误配置注入HTTP头部，这可能会被服务器端缓存下来，比如制造存储型xss</w:t>
            </w:r>
          </w:p>
        </w:tc>
      </w:tr>
      <w:tr w14:paraId="4544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671EC5D6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解决方案：</w:t>
            </w:r>
          </w:p>
        </w:tc>
        <w:tc>
          <w:tcPr>
            <w:tcW w:w="7021" w:type="dxa"/>
            <w:gridSpan w:val="2"/>
            <w:vAlign w:val="center"/>
          </w:tcPr>
          <w:p w14:paraId="02211573">
            <w:pPr>
              <w:ind w:firstLine="0" w:firstLineChars="0"/>
              <w:jc w:val="left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sz w:val="21"/>
                <w:szCs w:val="21"/>
              </w:rPr>
              <w:t>非必要不建议开启cors跨域资源共享功能，如需开启，请严格限制Origin值为需要资源共享的子域，或者当前主域。</w:t>
            </w:r>
          </w:p>
        </w:tc>
      </w:tr>
      <w:tr w14:paraId="14B2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7B9ED176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参考资料：</w:t>
            </w:r>
          </w:p>
        </w:tc>
        <w:tc>
          <w:tcPr>
            <w:tcW w:w="7021" w:type="dxa"/>
            <w:gridSpan w:val="2"/>
            <w:vAlign w:val="center"/>
          </w:tcPr>
          <w:p w14:paraId="7F743C78">
            <w:pPr>
              <w:ind w:firstLine="0" w:firstLineChars="0"/>
              <w:jc w:val="left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/>
                <w:sz w:val="21"/>
                <w:szCs w:val="21"/>
              </w:rPr>
              <w:t>https://blog.csdn.net/lza20001103/article/details/146536776</w:t>
            </w:r>
          </w:p>
        </w:tc>
      </w:tr>
      <w:tr w14:paraId="29DAD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233D1657">
            <w:pPr>
              <w:ind w:firstLine="0" w:firstLineChars="0"/>
              <w:jc w:val="center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协议类型：</w:t>
            </w:r>
          </w:p>
        </w:tc>
        <w:tc>
          <w:tcPr>
            <w:tcW w:w="7021" w:type="dxa"/>
            <w:gridSpan w:val="2"/>
            <w:vAlign w:val="center"/>
          </w:tcPr>
          <w:p w14:paraId="4B32FB16">
            <w:pPr>
              <w:ind w:firstLine="0" w:firstLineChars="0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/>
                <w:sz w:val="21"/>
                <w:szCs w:val="21"/>
              </w:rPr>
              <w:t>-</w:t>
            </w:r>
          </w:p>
        </w:tc>
      </w:tr>
      <w:tr w14:paraId="7A84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vMerge w:val="restart"/>
            <w:shd w:val="clear" w:color="auto" w:fill="FFFFFF"/>
            <w:vAlign w:val="center"/>
          </w:tcPr>
          <w:p w14:paraId="412C6032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风险举证</w:t>
            </w:r>
            <w:r>
              <w:rPr>
                <w:rFonts w:hint="eastAsia" w:ascii="Times New Roman" w:hAnsi="Times New Roman"/>
                <w:sz w:val="21"/>
                <w:szCs w:val="21"/>
              </w:rPr>
              <w:t>：</w:t>
            </w:r>
          </w:p>
        </w:tc>
        <w:tc>
          <w:tcPr>
            <w:tcW w:w="7021" w:type="dxa"/>
            <w:gridSpan w:val="2"/>
            <w:vAlign w:val="center"/>
          </w:tcPr>
          <w:p w14:paraId="7D3D7380">
            <w:pPr>
              <w:ind w:firstLine="0" w:firstLineChars="0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10.50.144.161</w:t>
            </w:r>
          </w:p>
        </w:tc>
      </w:tr>
      <w:tr w14:paraId="34E73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vMerge w:val="continue"/>
            <w:shd w:val="clear" w:color="auto" w:fill="FFFFFF"/>
          </w:tcPr>
          <w:p w14:paraId="44EA06A2">
            <w:pPr>
              <w:ind w:firstLine="42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46" w:type="dxa"/>
            <w:vAlign w:val="center"/>
          </w:tcPr>
          <w:p w14:paraId="6068E521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请求</w:t>
            </w:r>
            <w:r>
              <w:rPr>
                <w:rFonts w:hint="eastAsia" w:ascii="Times New Roman" w:hAnsi="Times New Roman"/>
                <w:sz w:val="21"/>
                <w:szCs w:val="21"/>
              </w:rPr>
              <w:t>：</w:t>
            </w:r>
          </w:p>
        </w:tc>
        <w:tc>
          <w:tcPr>
            <w:tcW w:w="5975" w:type="dxa"/>
            <w:vAlign w:val="center"/>
          </w:tcPr>
          <w:p w14:paraId="55B5BA00">
            <w:pPr>
              <w:ind w:firstLine="0" w:firstLineChars="0"/>
              <w:jc w:val="left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GET /JT HTTP/1.1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Host: 10.50.144.161:9000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User-Agent: python-requests/2.23.0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Accept-Encoding: gzip, deflate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Accept: */*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Connection: keep-alive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Origin: https://www.evil.com</w:t>
            </w:r>
            <w:r>
              <w:rPr>
                <w:sz w:val="21"/>
                <w:szCs w:val="21"/>
              </w:rPr>
              <w:br w:type="textWrapping"/>
            </w:r>
            <w:r>
              <w:rPr>
                <w:sz w:val="21"/>
                <w:szCs w:val="21"/>
              </w:rPr>
              <w:t>Cookie: JSESSIONID=DA0030241A6227542BBACCD2657898CE</w:t>
            </w:r>
          </w:p>
        </w:tc>
      </w:tr>
      <w:tr w14:paraId="7B557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1" w:type="dxa"/>
            <w:shd w:val="clear" w:color="auto" w:fill="FFFFFF"/>
            <w:vAlign w:val="center"/>
          </w:tcPr>
          <w:p w14:paraId="15315744">
            <w:pPr>
              <w:ind w:firstLine="0" w:firstLineChars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漏洞ID：</w:t>
            </w:r>
          </w:p>
        </w:tc>
        <w:tc>
          <w:tcPr>
            <w:tcW w:w="7021" w:type="dxa"/>
            <w:gridSpan w:val="2"/>
            <w:vAlign w:val="center"/>
          </w:tcPr>
          <w:p w14:paraId="5054845E">
            <w:pPr>
              <w:ind w:firstLine="0" w:firstLineChars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sz w:val="21"/>
                <w:szCs w:val="21"/>
              </w:rPr>
              <w:t>SF-2023-00249</w:t>
            </w:r>
          </w:p>
        </w:tc>
      </w:tr>
    </w:tbl>
    <w:p w14:paraId="7EA12E33">
      <w:pPr>
        <w:ind w:firstLine="0" w:firstLineChars="0"/>
      </w:pPr>
    </w:p>
    <w:p w14:paraId="3B574681">
      <w:pPr>
        <w:pStyle w:val="2"/>
        <w:spacing w:before="163" w:after="163"/>
      </w:pPr>
      <w:bookmarkStart w:id="24" w:name="_Toc13003"/>
      <w:bookmarkStart w:id="25" w:name="_Toc82094123"/>
      <w:bookmarkStart w:id="26" w:name="_Toc16990"/>
      <w:r>
        <w:t>主机服务探测</w:t>
      </w:r>
      <w:bookmarkEnd w:id="24"/>
      <w:bookmarkEnd w:id="25"/>
      <w:bookmarkEnd w:id="26"/>
    </w:p>
    <w:p w14:paraId="3365D9CD">
      <w:pPr>
        <w:rPr>
          <w:rFonts w:ascii="Times New Roman" w:hAnsi="Times New Roman"/>
        </w:rPr>
      </w:pPr>
      <w:r>
        <w:rPr>
          <w:rFonts w:ascii="Times New Roman" w:hAnsi="Times New Roman"/>
        </w:rPr>
        <w:t>和业务不相关端口的开放，是潜在的风险点，建议关闭不使用的端口，服务器的服务及端口开放和分布情况如下：</w:t>
      </w:r>
    </w:p>
    <w:tbl>
      <w:tblPr>
        <w:tblStyle w:val="17"/>
        <w:tblW w:w="84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2"/>
        <w:gridCol w:w="2000"/>
        <w:gridCol w:w="2560"/>
      </w:tblGrid>
      <w:tr w14:paraId="7172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2" w:type="dxa"/>
            <w:shd w:val="clear" w:color="auto" w:fill="BFBFBF"/>
            <w:vAlign w:val="center"/>
          </w:tcPr>
          <w:p w14:paraId="171BE084">
            <w:pPr>
              <w:pStyle w:val="33"/>
              <w:rPr>
                <w:b/>
                <w:bCs/>
              </w:rPr>
            </w:pPr>
            <w:r>
              <w:rPr>
                <w:b/>
                <w:bCs/>
              </w:rPr>
              <w:t>主机名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764126F8">
            <w:pPr>
              <w:pStyle w:val="33"/>
              <w:rPr>
                <w:b/>
                <w:bCs/>
              </w:rPr>
            </w:pPr>
            <w:r>
              <w:rPr>
                <w:b/>
                <w:bCs/>
              </w:rPr>
              <w:t>端口</w:t>
            </w:r>
          </w:p>
        </w:tc>
        <w:tc>
          <w:tcPr>
            <w:tcW w:w="2560" w:type="dxa"/>
            <w:shd w:val="clear" w:color="auto" w:fill="BFBFBF"/>
            <w:vAlign w:val="center"/>
          </w:tcPr>
          <w:p w14:paraId="6863E724">
            <w:pPr>
              <w:pStyle w:val="33"/>
              <w:rPr>
                <w:b/>
                <w:bCs/>
              </w:rPr>
            </w:pPr>
            <w:r>
              <w:rPr>
                <w:b/>
                <w:bCs/>
              </w:rPr>
              <w:t>开启服务</w:t>
            </w:r>
          </w:p>
        </w:tc>
      </w:tr>
      <w:tr w14:paraId="7177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2" w:type="dxa"/>
            <w:vMerge w:val="restart"/>
            <w:vAlign w:val="center"/>
          </w:tcPr>
          <w:p w14:paraId="60231732">
            <w:pPr>
              <w:ind w:firstLine="420"/>
              <w:jc w:val="center"/>
            </w:pPr>
            <w:r>
              <w:rPr>
                <w:rFonts w:ascii="宋体" w:hAnsi="宋体"/>
                <w:sz w:val="21"/>
                <w:szCs w:val="21"/>
              </w:rPr>
              <w:t>10.50.144.161</w:t>
            </w:r>
          </w:p>
        </w:tc>
        <w:tc>
          <w:tcPr>
            <w:tcW w:w="2000" w:type="dxa"/>
            <w:vAlign w:val="center"/>
          </w:tcPr>
          <w:p w14:paraId="604031D1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3306</w:t>
            </w:r>
          </w:p>
        </w:tc>
        <w:tc>
          <w:tcPr>
            <w:tcW w:w="2560" w:type="dxa"/>
            <w:vAlign w:val="center"/>
          </w:tcPr>
          <w:p w14:paraId="6522BD0D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mysql</w:t>
            </w:r>
          </w:p>
        </w:tc>
      </w:tr>
      <w:tr w14:paraId="04F2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2" w:type="dxa"/>
            <w:vMerge w:val="continue"/>
            <w:vAlign w:val="center"/>
          </w:tcPr>
          <w:p w14:paraId="559FEC80">
            <w:pPr>
              <w:ind w:firstLine="420"/>
              <w:jc w:val="center"/>
            </w:pPr>
          </w:p>
        </w:tc>
        <w:tc>
          <w:tcPr>
            <w:tcW w:w="2000" w:type="dxa"/>
            <w:vAlign w:val="center"/>
          </w:tcPr>
          <w:p w14:paraId="497C300C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22222</w:t>
            </w:r>
          </w:p>
        </w:tc>
        <w:tc>
          <w:tcPr>
            <w:tcW w:w="2560" w:type="dxa"/>
            <w:vAlign w:val="center"/>
          </w:tcPr>
          <w:p w14:paraId="380CDCDC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ssh</w:t>
            </w:r>
          </w:p>
        </w:tc>
      </w:tr>
      <w:tr w14:paraId="7D2A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2" w:type="dxa"/>
            <w:vMerge w:val="continue"/>
            <w:vAlign w:val="center"/>
          </w:tcPr>
          <w:p w14:paraId="546171C2">
            <w:pPr>
              <w:ind w:firstLine="420"/>
              <w:jc w:val="center"/>
            </w:pPr>
          </w:p>
        </w:tc>
        <w:tc>
          <w:tcPr>
            <w:tcW w:w="2000" w:type="dxa"/>
            <w:vAlign w:val="center"/>
          </w:tcPr>
          <w:p w14:paraId="3F0394DD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8019</w:t>
            </w:r>
          </w:p>
        </w:tc>
        <w:tc>
          <w:tcPr>
            <w:tcW w:w="2560" w:type="dxa"/>
            <w:vAlign w:val="center"/>
          </w:tcPr>
          <w:p w14:paraId="6D309AA1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qbdb</w:t>
            </w:r>
          </w:p>
        </w:tc>
      </w:tr>
      <w:tr w14:paraId="2969A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12" w:type="dxa"/>
            <w:vMerge w:val="continue"/>
            <w:vAlign w:val="center"/>
          </w:tcPr>
          <w:p w14:paraId="6F491CA6">
            <w:pPr>
              <w:ind w:firstLine="420"/>
              <w:jc w:val="center"/>
            </w:pPr>
          </w:p>
        </w:tc>
        <w:tc>
          <w:tcPr>
            <w:tcW w:w="2000" w:type="dxa"/>
            <w:vAlign w:val="center"/>
          </w:tcPr>
          <w:p w14:paraId="3F6C94FF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9000</w:t>
            </w:r>
          </w:p>
        </w:tc>
        <w:tc>
          <w:tcPr>
            <w:tcW w:w="2560" w:type="dxa"/>
            <w:vAlign w:val="center"/>
          </w:tcPr>
          <w:p w14:paraId="03BC2864">
            <w:pPr>
              <w:ind w:firstLine="0" w:firstLineChars="0"/>
              <w:jc w:val="center"/>
            </w:pPr>
            <w:r>
              <w:rPr>
                <w:rFonts w:ascii="宋体" w:hAnsi="宋体"/>
                <w:sz w:val="21"/>
                <w:szCs w:val="21"/>
              </w:rPr>
              <w:t>http</w:t>
            </w:r>
          </w:p>
        </w:tc>
      </w:tr>
    </w:tbl>
    <w:p w14:paraId="7057F9D8">
      <w:pPr>
        <w:pStyle w:val="2"/>
        <w:spacing w:before="163" w:after="163"/>
      </w:pPr>
      <w:bookmarkStart w:id="27" w:name="_Toc82094124"/>
      <w:bookmarkStart w:id="28" w:name="_Toc51836341"/>
      <w:bookmarkStart w:id="29" w:name="_Toc82092992"/>
      <w:bookmarkStart w:id="30" w:name="_Toc52306687"/>
      <w:bookmarkStart w:id="31" w:name="_Toc11669"/>
      <w:bookmarkStart w:id="32" w:name="_Toc20514"/>
      <w:r>
        <w:t>参考标准</w:t>
      </w:r>
      <w:bookmarkEnd w:id="27"/>
      <w:bookmarkEnd w:id="28"/>
      <w:bookmarkEnd w:id="29"/>
      <w:bookmarkEnd w:id="30"/>
      <w:bookmarkEnd w:id="31"/>
      <w:bookmarkEnd w:id="32"/>
    </w:p>
    <w:tbl>
      <w:tblPr>
        <w:tblStyle w:val="18"/>
        <w:tblW w:w="8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0"/>
      </w:tblGrid>
      <w:tr w14:paraId="5EA91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8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/>
            <w:vAlign w:val="center"/>
          </w:tcPr>
          <w:p w14:paraId="75F8E0E7">
            <w:pPr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/>
                <w:color w:val="FFFFFF"/>
              </w:rPr>
              <w:t>单一系统漏洞风险等级评定标准</w:t>
            </w:r>
          </w:p>
        </w:tc>
      </w:tr>
    </w:tbl>
    <w:p w14:paraId="1B9B466F">
      <w:pPr>
        <w:rPr>
          <w:rFonts w:ascii="Times New Roman" w:hAnsi="Times New Roman"/>
        </w:rPr>
      </w:pPr>
    </w:p>
    <w:tbl>
      <w:tblPr>
        <w:tblStyle w:val="40"/>
        <w:tblW w:w="8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2537"/>
        <w:gridCol w:w="4738"/>
      </w:tblGrid>
      <w:tr w14:paraId="063E1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175D827A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危险程度</w:t>
            </w:r>
          </w:p>
        </w:tc>
        <w:tc>
          <w:tcPr>
            <w:tcW w:w="25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7D23B121">
            <w:pPr>
              <w:spacing w:line="240" w:lineRule="auto"/>
              <w:ind w:firstLine="0" w:firstLineChars="0"/>
              <w:jc w:val="center"/>
              <w:rPr>
                <w:rFonts w:ascii="Times New Roman" w:hAnsi="Times New Roman" w:eastAsia="微软雅黑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危险值区域</w:t>
            </w:r>
          </w:p>
        </w:tc>
        <w:tc>
          <w:tcPr>
            <w:tcW w:w="47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6FA343A2">
            <w:pPr>
              <w:spacing w:line="240" w:lineRule="auto"/>
              <w:ind w:firstLine="0" w:firstLineChars="0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危险程度说明</w:t>
            </w:r>
          </w:p>
        </w:tc>
      </w:tr>
      <w:tr w14:paraId="270AB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98A32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高危</w:t>
            </w:r>
          </w:p>
        </w:tc>
        <w:tc>
          <w:tcPr>
            <w:tcW w:w="25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247C18B">
            <w:pPr>
              <w:ind w:firstLine="0" w:firstLineChars="0"/>
              <w:jc w:val="center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7 &lt;= </w:t>
            </w:r>
            <w:r>
              <w:rPr>
                <w:rFonts w:ascii="宋体" w:hAnsi="宋体" w:eastAsia="Times New Roman"/>
                <w:sz w:val="21"/>
                <w:szCs w:val="21"/>
              </w:rPr>
              <w:t xml:space="preserve">漏洞风险值 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>&lt;= 10</w:t>
            </w:r>
          </w:p>
        </w:tc>
        <w:tc>
          <w:tcPr>
            <w:tcW w:w="47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CFE4F6">
            <w:pPr>
              <w:ind w:firstLine="0" w:firstLineChars="0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攻击者可以远程执行任意命令或者代码，或对系统进行远程拒绝服务攻击。</w:t>
            </w:r>
          </w:p>
        </w:tc>
      </w:tr>
      <w:tr w14:paraId="1A09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515C2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中危</w:t>
            </w:r>
          </w:p>
        </w:tc>
        <w:tc>
          <w:tcPr>
            <w:tcW w:w="25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D3C29A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4 &lt;= </w:t>
            </w:r>
            <w:r>
              <w:rPr>
                <w:rFonts w:ascii="宋体" w:hAnsi="宋体" w:eastAsia="Times New Roman"/>
                <w:sz w:val="21"/>
                <w:szCs w:val="21"/>
              </w:rPr>
              <w:t xml:space="preserve">漏洞风险值 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>&lt; 7</w:t>
            </w:r>
          </w:p>
        </w:tc>
        <w:tc>
          <w:tcPr>
            <w:tcW w:w="47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79ADAD">
            <w:pPr>
              <w:ind w:firstLine="0" w:firstLineChars="0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攻击者可以远程创建、修改、删除文件或数据，或对普通服务进行拒绝服务攻击。</w:t>
            </w:r>
          </w:p>
        </w:tc>
      </w:tr>
      <w:tr w14:paraId="271D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382A2">
            <w:pPr>
              <w:ind w:firstLine="0" w:firstLineChars="0"/>
              <w:jc w:val="center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低危</w:t>
            </w:r>
          </w:p>
        </w:tc>
        <w:tc>
          <w:tcPr>
            <w:tcW w:w="25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CD77F6">
            <w:pPr>
              <w:ind w:firstLine="0" w:firstLineChars="0"/>
              <w:jc w:val="center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1 &lt;= </w:t>
            </w:r>
            <w:r>
              <w:rPr>
                <w:rFonts w:ascii="宋体" w:hAnsi="宋体" w:eastAsia="Times New Roman"/>
                <w:sz w:val="21"/>
                <w:szCs w:val="21"/>
              </w:rPr>
              <w:t xml:space="preserve">漏洞风险值 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>&lt; 4</w:t>
            </w:r>
          </w:p>
        </w:tc>
        <w:tc>
          <w:tcPr>
            <w:tcW w:w="47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6DA1B1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攻击者可以获取某些敏感的系统、服务信息，或读取系统文件和数据。</w:t>
            </w:r>
          </w:p>
        </w:tc>
      </w:tr>
      <w:tr w14:paraId="5BC4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9DD79E">
            <w:pPr>
              <w:ind w:firstLine="0" w:firstLineChars="0"/>
              <w:jc w:val="center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信息</w:t>
            </w:r>
          </w:p>
        </w:tc>
        <w:tc>
          <w:tcPr>
            <w:tcW w:w="25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1D8B8C6">
            <w:pPr>
              <w:ind w:firstLine="0" w:firstLineChars="0"/>
              <w:jc w:val="center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漏洞风险值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 = 0</w:t>
            </w:r>
          </w:p>
        </w:tc>
        <w:tc>
          <w:tcPr>
            <w:tcW w:w="47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2243DC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攻击者可以获取系统、服务的信息，如服务软件、版本、以及运行信息。</w:t>
            </w:r>
          </w:p>
        </w:tc>
      </w:tr>
    </w:tbl>
    <w:p w14:paraId="4948E266">
      <w:pPr>
        <w:rPr>
          <w:rFonts w:ascii="Times New Roman" w:hAnsi="Times New Roman"/>
        </w:rPr>
      </w:pPr>
    </w:p>
    <w:tbl>
      <w:tblPr>
        <w:tblStyle w:val="18"/>
        <w:tblW w:w="8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4"/>
      </w:tblGrid>
      <w:tr w14:paraId="08C5F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8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/>
            <w:vAlign w:val="center"/>
          </w:tcPr>
          <w:p w14:paraId="1645C979">
            <w:pPr>
              <w:spacing w:line="273" w:lineRule="auto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/>
                <w:color w:val="FFFFFF"/>
              </w:rPr>
              <w:t>单一Web</w:t>
            </w:r>
            <w:r>
              <w:rPr>
                <w:rFonts w:ascii="宋体" w:hAnsi="宋体"/>
                <w:color w:val="FFFFFF"/>
              </w:rPr>
              <w:t>漏洞风险等级评定标准</w:t>
            </w:r>
          </w:p>
        </w:tc>
      </w:tr>
    </w:tbl>
    <w:p w14:paraId="1D8E0EE6">
      <w:pPr>
        <w:rPr>
          <w:rFonts w:ascii="Times New Roman" w:hAnsi="Times New Roman"/>
        </w:rPr>
      </w:pPr>
    </w:p>
    <w:tbl>
      <w:tblPr>
        <w:tblStyle w:val="41"/>
        <w:tblW w:w="85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6"/>
        <w:gridCol w:w="2557"/>
        <w:gridCol w:w="4718"/>
      </w:tblGrid>
      <w:tr w14:paraId="606F1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79F9FA59">
            <w:pPr>
              <w:spacing w:line="240" w:lineRule="auto"/>
              <w:ind w:firstLine="0" w:firstLineChars="0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危险程度</w:t>
            </w:r>
          </w:p>
        </w:tc>
        <w:tc>
          <w:tcPr>
            <w:tcW w:w="25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6B964657">
            <w:pPr>
              <w:spacing w:line="240" w:lineRule="auto"/>
              <w:ind w:firstLine="0" w:firstLineChars="0"/>
              <w:rPr>
                <w:rFonts w:ascii="Times New Roman" w:hAnsi="Times New Roman" w:eastAsia="微软雅黑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危险值区域</w:t>
            </w:r>
          </w:p>
        </w:tc>
        <w:tc>
          <w:tcPr>
            <w:tcW w:w="47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523E65F4">
            <w:pPr>
              <w:spacing w:line="240" w:lineRule="auto"/>
              <w:ind w:firstLine="0" w:firstLineChars="0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危险程度说明</w:t>
            </w:r>
          </w:p>
        </w:tc>
      </w:tr>
      <w:tr w14:paraId="4604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B81BDB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高危</w:t>
            </w:r>
          </w:p>
        </w:tc>
        <w:tc>
          <w:tcPr>
            <w:tcW w:w="25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15B88A0">
            <w:pPr>
              <w:ind w:firstLine="0" w:firstLineChars="0"/>
              <w:jc w:val="center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7 &lt;= </w:t>
            </w:r>
            <w:r>
              <w:rPr>
                <w:rFonts w:ascii="宋体" w:hAnsi="宋体" w:eastAsia="Times New Roman"/>
                <w:sz w:val="21"/>
                <w:szCs w:val="21"/>
              </w:rPr>
              <w:t xml:space="preserve">漏洞风险值 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>&lt;= 10</w:t>
            </w:r>
          </w:p>
        </w:tc>
        <w:tc>
          <w:tcPr>
            <w:tcW w:w="47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110B5F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攻击者可以远程操作系统文件、读写后台数据库、执行任意命令或进行远程拒绝服务攻击。</w:t>
            </w:r>
          </w:p>
        </w:tc>
      </w:tr>
      <w:tr w14:paraId="71774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1D1DF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中危</w:t>
            </w:r>
          </w:p>
        </w:tc>
        <w:tc>
          <w:tcPr>
            <w:tcW w:w="25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9B2E24E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4 &lt;= </w:t>
            </w:r>
            <w:r>
              <w:rPr>
                <w:rFonts w:ascii="宋体" w:hAnsi="宋体" w:eastAsia="Times New Roman"/>
                <w:sz w:val="21"/>
                <w:szCs w:val="21"/>
              </w:rPr>
              <w:t xml:space="preserve">漏洞风险值 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>&lt; 7</w:t>
            </w:r>
          </w:p>
        </w:tc>
        <w:tc>
          <w:tcPr>
            <w:tcW w:w="47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9CA93E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攻击者可以利用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>web</w:t>
            </w:r>
            <w:r>
              <w:rPr>
                <w:rFonts w:ascii="宋体" w:hAnsi="宋体" w:eastAsia="Times New Roman"/>
                <w:sz w:val="21"/>
                <w:szCs w:val="21"/>
              </w:rPr>
              <w:t>应用系统攻击其他用户，读取系统文件或后台数据。</w:t>
            </w:r>
          </w:p>
        </w:tc>
      </w:tr>
      <w:tr w14:paraId="4A06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BB8C09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低危</w:t>
            </w:r>
          </w:p>
        </w:tc>
        <w:tc>
          <w:tcPr>
            <w:tcW w:w="25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212CFD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1 &lt;= </w:t>
            </w:r>
            <w:r>
              <w:rPr>
                <w:rFonts w:ascii="宋体" w:hAnsi="宋体" w:eastAsia="Times New Roman"/>
                <w:sz w:val="21"/>
                <w:szCs w:val="21"/>
              </w:rPr>
              <w:t xml:space="preserve">漏洞风险值 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>&lt; 4</w:t>
            </w:r>
          </w:p>
        </w:tc>
        <w:tc>
          <w:tcPr>
            <w:tcW w:w="47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54B019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攻击者可以获取某些系统、文件的信息或冒用身份以及存在敏感词。</w:t>
            </w:r>
          </w:p>
        </w:tc>
      </w:tr>
      <w:tr w14:paraId="0C54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22FD9C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信息</w:t>
            </w:r>
          </w:p>
        </w:tc>
        <w:tc>
          <w:tcPr>
            <w:tcW w:w="25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3F58D1">
            <w:pPr>
              <w:ind w:firstLine="0" w:firstLineChars="0"/>
              <w:jc w:val="center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漏洞风险值</w:t>
            </w:r>
            <w:r>
              <w:rPr>
                <w:rFonts w:ascii="Times New Roman" w:hAnsi="Times New Roman" w:eastAsia="Times New Roman"/>
                <w:sz w:val="21"/>
                <w:szCs w:val="21"/>
              </w:rPr>
              <w:t xml:space="preserve"> = 0</w:t>
            </w:r>
          </w:p>
        </w:tc>
        <w:tc>
          <w:tcPr>
            <w:tcW w:w="47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0FA6421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存在如邮件地址、电话等明文，存在信息泄露的可能性。</w:t>
            </w:r>
          </w:p>
        </w:tc>
      </w:tr>
    </w:tbl>
    <w:p w14:paraId="4679FB20">
      <w:pPr>
        <w:rPr>
          <w:rFonts w:ascii="Times New Roman" w:hAnsi="Times New Roman"/>
        </w:rPr>
      </w:pPr>
    </w:p>
    <w:tbl>
      <w:tblPr>
        <w:tblStyle w:val="18"/>
        <w:tblW w:w="855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4"/>
      </w:tblGrid>
      <w:tr w14:paraId="568B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8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E7E7E"/>
            <w:vAlign w:val="center"/>
          </w:tcPr>
          <w:p w14:paraId="348A6D4F">
            <w:pPr>
              <w:spacing w:line="273" w:lineRule="auto"/>
              <w:rPr>
                <w:rFonts w:ascii="Times New Roman" w:hAnsi="Times New Roman" w:eastAsia="微软雅黑"/>
              </w:rPr>
            </w:pPr>
            <w:r>
              <w:rPr>
                <w:rFonts w:ascii="Times New Roman" w:hAnsi="Times New Roman"/>
                <w:color w:val="FFFFFF"/>
              </w:rPr>
              <w:t>单一</w:t>
            </w:r>
            <w:r>
              <w:rPr>
                <w:rFonts w:hint="eastAsia" w:ascii="Times New Roman" w:hAnsi="Times New Roman"/>
                <w:color w:val="FFFFFF"/>
              </w:rPr>
              <w:t>资产</w:t>
            </w:r>
            <w:r>
              <w:rPr>
                <w:rFonts w:ascii="Times New Roman" w:hAnsi="Times New Roman"/>
                <w:color w:val="FFFFFF"/>
              </w:rPr>
              <w:t>风险等级评定标准</w:t>
            </w:r>
          </w:p>
        </w:tc>
      </w:tr>
    </w:tbl>
    <w:p w14:paraId="4F1D1A9F">
      <w:pPr>
        <w:rPr>
          <w:rFonts w:ascii="Times New Roman" w:hAnsi="Times New Roman"/>
        </w:rPr>
      </w:pPr>
    </w:p>
    <w:tbl>
      <w:tblPr>
        <w:tblStyle w:val="42"/>
        <w:tblW w:w="86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6805"/>
      </w:tblGrid>
      <w:tr w14:paraId="29C1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323C5A7D">
            <w:pPr>
              <w:spacing w:line="240" w:lineRule="auto"/>
              <w:ind w:firstLine="0" w:firstLineChars="0"/>
              <w:rPr>
                <w:rFonts w:ascii="Times New Roman" w:hAnsi="Times New Roman" w:eastAsia="微软雅黑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危险程度</w:t>
            </w:r>
          </w:p>
        </w:tc>
        <w:tc>
          <w:tcPr>
            <w:tcW w:w="68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7D7D7"/>
            <w:vAlign w:val="center"/>
          </w:tcPr>
          <w:p w14:paraId="64C17B3F">
            <w:pPr>
              <w:spacing w:line="240" w:lineRule="auto"/>
              <w:ind w:firstLine="0" w:firstLineChars="0"/>
              <w:rPr>
                <w:rFonts w:ascii="Times New Roman" w:hAnsi="Times New Roman" w:eastAsia="微软雅黑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危险程度说明</w:t>
            </w:r>
          </w:p>
        </w:tc>
      </w:tr>
      <w:tr w14:paraId="75DB8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4F0E0">
            <w:pPr>
              <w:ind w:firstLine="0" w:firstLineChars="0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高危</w:t>
            </w:r>
          </w:p>
        </w:tc>
        <w:tc>
          <w:tcPr>
            <w:tcW w:w="68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9A5D731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资产存在高危风险的漏洞，风险等级为高风险，建议优先关注。</w:t>
            </w:r>
          </w:p>
        </w:tc>
      </w:tr>
      <w:tr w14:paraId="62247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72699">
            <w:pPr>
              <w:ind w:firstLine="0" w:firstLineChars="0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中危</w:t>
            </w:r>
          </w:p>
        </w:tc>
        <w:tc>
          <w:tcPr>
            <w:tcW w:w="68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CD3C1AE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资产只发现中危以下风险等级的漏洞，风险等级为中风险。</w:t>
            </w:r>
          </w:p>
        </w:tc>
      </w:tr>
      <w:tr w14:paraId="39A40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0EDB3">
            <w:pPr>
              <w:ind w:firstLine="0" w:firstLineChars="0"/>
              <w:rPr>
                <w:rFonts w:ascii="Times New Roman" w:hAnsi="Times New Roman" w:eastAsia="Times New Roman"/>
                <w:color w:val="FFFFFF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color w:val="000000"/>
                <w:sz w:val="21"/>
                <w:szCs w:val="21"/>
              </w:rPr>
              <w:t>低危</w:t>
            </w:r>
          </w:p>
        </w:tc>
        <w:tc>
          <w:tcPr>
            <w:tcW w:w="68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ACDD1C1">
            <w:pPr>
              <w:ind w:firstLine="0" w:firstLineChars="0"/>
              <w:rPr>
                <w:rFonts w:ascii="Times New Roman" w:hAnsi="Times New Roman" w:eastAsia="Times New Roman"/>
                <w:sz w:val="21"/>
                <w:szCs w:val="21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资产只发现低危风险的漏洞，风险值等级较低。</w:t>
            </w:r>
          </w:p>
        </w:tc>
      </w:tr>
      <w:tr w14:paraId="03958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8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21B5E">
            <w:pPr>
              <w:ind w:firstLine="0" w:firstLineChars="0"/>
              <w:rPr>
                <w:rFonts w:hint="default" w:ascii="Times New Roman" w:hAnsi="Times New Roman" w:eastAsia="宋体"/>
                <w:color w:val="FFFF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color w:val="000000" w:themeColor="text1"/>
                <w:sz w:val="21"/>
                <w:szCs w:val="21"/>
                <w:lang w:val="en-US" w:eastAsia="zh-CN"/>
              </w:rPr>
              <w:t>安全</w:t>
            </w:r>
          </w:p>
        </w:tc>
        <w:tc>
          <w:tcPr>
            <w:tcW w:w="68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FADE6F3">
            <w:pPr>
              <w:ind w:firstLine="0" w:firstLineChars="0"/>
              <w:rPr>
                <w:rFonts w:hint="eastAsia" w:ascii="Times New Roman" w:hAnsi="Times New Roman" w:eastAsia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不存在高中低风险的漏洞，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不存在脆弱性</w:t>
            </w:r>
            <w:r>
              <w:rPr>
                <w:rFonts w:hint="eastAsia" w:ascii="宋体" w:hAnsi="宋体" w:eastAsia="Times New Roman" w:cs="宋体"/>
                <w:sz w:val="21"/>
                <w:szCs w:val="21"/>
              </w:rPr>
              <w:t>风险</w:t>
            </w: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。</w:t>
            </w:r>
          </w:p>
        </w:tc>
      </w:tr>
    </w:tbl>
    <w:p w14:paraId="37855A70">
      <w:pPr>
        <w:ind w:left="0" w:leftChars="0" w:firstLine="0" w:firstLineChars="0"/>
        <w:rPr>
          <w:rFonts w:ascii="Times New Roman" w:hAnsi="Times New Roman"/>
        </w:rPr>
      </w:pPr>
    </w:p>
    <w:sectPr>
      <w:headerReference r:id="rId13" w:type="default"/>
      <w:footerReference r:id="rId14" w:type="default"/>
      <w:type w:val="oddPage"/>
      <w:pgSz w:w="11906" w:h="16838"/>
      <w:pgMar w:top="1440" w:right="991" w:bottom="1440" w:left="993" w:header="851" w:footer="850" w:gutter="0"/>
      <w:pgNumType w:start="1"/>
      <w:cols w:space="720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5F845">
    <w:pPr>
      <w:pStyle w:val="11"/>
      <w:ind w:firstLine="360"/>
      <w:rPr>
        <w:rFonts w:ascii="Times New Roman" w:hAnsi="Times New Roman"/>
      </w:rPr>
    </w:pPr>
  </w:p>
  <w:p w14:paraId="2B268EC4">
    <w:pPr>
      <w:pStyle w:val="11"/>
      <w:ind w:firstLine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AFF33">
    <w:pPr>
      <w:pStyle w:val="1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EDBBE">
    <w:pPr>
      <w:pStyle w:val="11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DB594">
    <w:pPr>
      <w:pStyle w:val="11"/>
      <w:ind w:firstLine="360"/>
      <w:rPr>
        <w:rFonts w:ascii="Times New Roman" w:hAnsi="Times New Roma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896090"/>
    </w:sdtPr>
    <w:sdtContent>
      <w:p w14:paraId="09BF5A9E">
        <w:pPr>
          <w:pStyle w:val="11"/>
          <w:pBdr>
            <w:top w:val="single" w:color="auto" w:sz="4" w:space="12"/>
          </w:pBdr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CCC5E">
    <w:pPr>
      <w:pStyle w:val="12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E49D1">
    <w:pPr>
      <w:pStyle w:val="12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324B4">
    <w:pPr>
      <w:pStyle w:val="12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8DF1F">
    <w:pPr>
      <w:pStyle w:val="12"/>
      <w:tabs>
        <w:tab w:val="right" w:pos="9360"/>
        <w:tab w:val="clear" w:pos="8306"/>
      </w:tabs>
      <w:ind w:firstLine="360"/>
      <w:rPr>
        <w:rFonts w:ascii="Times New Roman" w:hAnsi="Times New Roman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4400D">
    <w:pPr>
      <w:pStyle w:val="12"/>
      <w:tabs>
        <w:tab w:val="right" w:pos="9360"/>
        <w:tab w:val="clear" w:pos="8306"/>
      </w:tabs>
      <w:ind w:firstLine="360"/>
      <w:rPr>
        <w:rFonts w:hint="eastAsia" w:ascii="Times New Roman" w:hAnsi="Times New Roman" w:eastAsia="宋体"/>
        <w:lang w:eastAsia="zh-CN"/>
      </w:rPr>
    </w:pPr>
    <w:r>
      <w:rPr>
        <w:rFonts w:hint="eastAsia" w:ascii="Times New Roman" w:hAnsi="Times New Roman" w:eastAsia="宋体"/>
        <w:lang w:eastAsia="zh-CN"/>
      </w:rPr>
      <w:drawing>
        <wp:inline distT="0" distB="0" distL="114300" distR="114300">
          <wp:extent cx="4486910" cy="335280"/>
          <wp:effectExtent l="0" t="0" r="0" b="0"/>
          <wp:docPr id="9" name="图片 9" descr="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 descr="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86910" cy="335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61FE2ED">
    <w:pPr>
      <w:pStyle w:val="12"/>
      <w:tabs>
        <w:tab w:val="right" w:pos="9360"/>
        <w:tab w:val="clear" w:pos="8306"/>
      </w:tabs>
      <w:ind w:firstLine="0" w:firstLineChars="0"/>
      <w:rPr>
        <w:rFonts w:ascii="Times New Roman" w:hAnsi="Times New Roman"/>
      </w:rPr>
    </w:pPr>
    <w:r>
      <w:rPr>
        <w:rFonts w:ascii="Times New Roman" w:hAnsi="Times New Roman"/>
      </w:rPr>
      <w:pict>
        <v:line id="_x0000_s4097" o:spid="_x0000_s4097" o:spt="20" style="position:absolute;left:0pt;margin-left:3.4pt;margin-top:7.6pt;height:0pt;width:492.35pt;z-index:251659264;mso-width-relative:page;mso-height-relative:page;" coordsize="21600,21600" o:gfxdata="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mAN0idMAAAAHAQAADwAAAAAAAAABACAAAAAiAAAAZHJzL2Rvd25yZXYu&#10;eG1sUEsBAhQAFAAAAAgAh07iQEItlxjHAQAAYwMAAA4AAAAAAAAAAQAgAAAAIgEAAGRycy9lMm9E&#10;b2MueG1sUEsFBgAAAAAGAAYAWQEAAFsFAAAAAA==&#10;">
          <v:path arrowok="t"/>
          <v:fill focussize="0,0"/>
          <v:stroke weight="0.5pt" joinstyle="miter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767D8"/>
    <w:multiLevelType w:val="multilevel"/>
    <w:tmpl w:val="E50767D8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400"/>
      </w:pPr>
      <w:rPr>
        <w:rFonts w:hint="eastAsia" w:ascii="宋体" w:hAnsi="宋体" w:eastAsia="宋体" w:cs="宋体"/>
      </w:rPr>
    </w:lvl>
    <w:lvl w:ilvl="1" w:tentative="0">
      <w:start w:val="1"/>
      <w:numFmt w:val="decimal"/>
      <w:isLgl/>
      <w:suff w:val="nothing"/>
      <w:lvlText w:val="%2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微软雅黑"/>
        <w:b/>
        <w:bCs/>
        <w:sz w:val="32"/>
        <w:szCs w:val="32"/>
      </w:rPr>
    </w:lvl>
    <w:lvl w:ilvl="2" w:tentative="0">
      <w:start w:val="1"/>
      <w:numFmt w:val="decimal"/>
      <w:isLgl/>
      <w:suff w:val="nothing"/>
      <w:lvlText w:val="%2.%3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微软雅黑"/>
        <w:b/>
        <w:bCs/>
        <w:sz w:val="30"/>
        <w:szCs w:val="30"/>
      </w:rPr>
    </w:lvl>
    <w:lvl w:ilvl="3" w:tentative="0">
      <w:start w:val="1"/>
      <w:numFmt w:val="decimal"/>
      <w:suff w:val="nothing"/>
      <w:lvlText w:val="%2.%3.%4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微软雅黑"/>
        <w:b/>
        <w:bCs/>
        <w:sz w:val="28"/>
        <w:szCs w:val="28"/>
      </w:rPr>
    </w:lvl>
    <w:lvl w:ilvl="4" w:tentative="0">
      <w:start w:val="1"/>
      <w:numFmt w:val="decimal"/>
      <w:pStyle w:val="6"/>
      <w:suff w:val="nothing"/>
      <w:lvlText w:val="%2.%3.%4.%5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 w:cs="微软雅黑"/>
        <w:b/>
        <w:bCs/>
        <w:sz w:val="24"/>
        <w:szCs w:val="24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20" w:hanging="42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40" w:hanging="42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60" w:hanging="42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80" w:hanging="420"/>
      </w:pPr>
      <w:rPr>
        <w:rFonts w:hint="eastAsia"/>
      </w:rPr>
    </w:lvl>
  </w:abstractNum>
  <w:abstractNum w:abstractNumId="1">
    <w:nsid w:val="0E2A9939"/>
    <w:multiLevelType w:val="multilevel"/>
    <w:tmpl w:val="0E2A9939"/>
    <w:lvl w:ilvl="0" w:tentative="0">
      <w:start w:val="1"/>
      <w:numFmt w:val="decimal"/>
      <w:pStyle w:val="2"/>
      <w:suff w:val="nothing"/>
      <w:lvlText w:val="%1 "/>
      <w:lvlJc w:val="left"/>
      <w:pPr>
        <w:ind w:left="420" w:hanging="420"/>
      </w:pPr>
      <w:rPr>
        <w:rFonts w:hint="eastAsia"/>
        <w:b/>
        <w:bCs/>
        <w:sz w:val="32"/>
        <w:szCs w:val="32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ind w:left="0" w:firstLine="0"/>
      </w:pPr>
      <w:rPr>
        <w:rFonts w:hint="default" w:ascii="Times New Roman" w:hAnsi="Times New Roman" w:eastAsia="黑体" w:cs="Times New Roman"/>
        <w:b/>
        <w:bCs/>
        <w:sz w:val="30"/>
        <w:szCs w:val="32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default" w:ascii="Times New Roman" w:hAnsi="Times New Roman" w:eastAsia="微软雅黑" w:cs="Times New Roman"/>
        <w:b/>
        <w:bCs/>
        <w:sz w:val="28"/>
        <w:szCs w:val="28"/>
      </w:rPr>
    </w:lvl>
    <w:lvl w:ilvl="3" w:tentative="0">
      <w:start w:val="1"/>
      <w:numFmt w:val="decimal"/>
      <w:pStyle w:val="5"/>
      <w:isLgl/>
      <w:suff w:val="nothing"/>
      <w:lvlText w:val="%1.%2.%3.%4、"/>
      <w:lvlJc w:val="left"/>
      <w:pPr>
        <w:ind w:left="0" w:firstLine="0"/>
      </w:pPr>
      <w:rPr>
        <w:rFonts w:hint="eastAsia" w:ascii="微软雅黑" w:hAnsi="微软雅黑" w:eastAsia="微软雅黑" w:cs="微软雅黑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00" w:hanging="420"/>
      </w:pPr>
      <w:rPr>
        <w:rFonts w:hint="eastAsia" w:ascii="宋体" w:hAnsi="宋体" w:eastAsia="宋体" w:cs="宋体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20" w:hanging="42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40" w:hanging="42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60" w:hanging="42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80" w:hanging="420"/>
      </w:pPr>
      <w:rPr>
        <w:rFonts w:hint="eastAsia"/>
      </w:rPr>
    </w:lvl>
  </w:abstractNum>
  <w:abstractNum w:abstractNumId="2">
    <w:nsid w:val="64A56922"/>
    <w:multiLevelType w:val="multilevel"/>
    <w:tmpl w:val="64A56922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Times New Roman" w:hAnsi="Times New Roman" w:cs="Times New Roman"/>
        <w:b/>
        <w:bCs/>
        <w:sz w:val="32"/>
        <w:szCs w:val="32"/>
      </w:rPr>
    </w:lvl>
    <w:lvl w:ilvl="1" w:tentative="0">
      <w:start w:val="1"/>
      <w:numFmt w:val="decimal"/>
      <w:isLgl/>
      <w:suff w:val="nothing"/>
      <w:lvlText w:val="%1.%2 "/>
      <w:lvlJc w:val="left"/>
      <w:pPr>
        <w:ind w:left="0" w:firstLine="0"/>
      </w:pPr>
      <w:rPr>
        <w:rFonts w:hint="default" w:ascii="Times New Roman" w:hAnsi="Times New Roman" w:eastAsia="微软雅黑" w:cs="Times New Roman"/>
        <w:b/>
        <w:bCs/>
        <w:sz w:val="30"/>
        <w:szCs w:val="30"/>
      </w:rPr>
    </w:lvl>
    <w:lvl w:ilvl="2" w:tentative="0">
      <w:start w:val="1"/>
      <w:numFmt w:val="decimal"/>
      <w:isLgl/>
      <w:suff w:val="nothing"/>
      <w:lvlText w:val="%1.%2.%3 "/>
      <w:lvlJc w:val="left"/>
      <w:pPr>
        <w:ind w:left="0" w:firstLine="0"/>
      </w:pPr>
      <w:rPr>
        <w:rFonts w:hint="default" w:ascii="Times New Roman" w:hAnsi="Times New Roman" w:eastAsia="微软雅黑" w:cs="Times New Roman"/>
        <w:b/>
        <w:bCs/>
        <w:sz w:val="28"/>
        <w:szCs w:val="28"/>
      </w:rPr>
    </w:lvl>
    <w:lvl w:ilvl="3" w:tentative="0">
      <w:start w:val="1"/>
      <w:numFmt w:val="decimal"/>
      <w:isLgl/>
      <w:suff w:val="nothing"/>
      <w:lvlText w:val="%1.%2.%3.%4、"/>
      <w:lvlJc w:val="left"/>
      <w:pPr>
        <w:ind w:left="0" w:firstLine="0"/>
      </w:pPr>
      <w:rPr>
        <w:rFonts w:hint="eastAsia" w:ascii="微软雅黑" w:hAnsi="微软雅黑" w:eastAsia="微软雅黑" w:cs="微软雅黑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00" w:hanging="420"/>
      </w:pPr>
      <w:rPr>
        <w:rFonts w:hint="eastAsia" w:ascii="宋体" w:hAnsi="宋体" w:eastAsia="宋体" w:cs="宋体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20" w:hanging="420"/>
      </w:pPr>
      <w:rPr>
        <w:rFonts w:hint="eastAsia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40" w:hanging="420"/>
      </w:pPr>
      <w:rPr>
        <w:rFonts w:hint="eastAsia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60" w:hanging="420"/>
      </w:pPr>
      <w:rPr>
        <w:rFonts w:hint="eastAsia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180" w:hanging="42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noPunctuationKerning w:val="1"/>
  <w:characterSpacingControl w:val="compressPunctuation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D0E09F9"/>
    <w:rsid w:val="000037B1"/>
    <w:rsid w:val="00025D90"/>
    <w:rsid w:val="00050644"/>
    <w:rsid w:val="00053B72"/>
    <w:rsid w:val="0006209D"/>
    <w:rsid w:val="00075F74"/>
    <w:rsid w:val="000A16FF"/>
    <w:rsid w:val="000D609B"/>
    <w:rsid w:val="000E5974"/>
    <w:rsid w:val="000E7C3F"/>
    <w:rsid w:val="000F2120"/>
    <w:rsid w:val="00146E8E"/>
    <w:rsid w:val="00153C11"/>
    <w:rsid w:val="00153C20"/>
    <w:rsid w:val="001964BB"/>
    <w:rsid w:val="00197D38"/>
    <w:rsid w:val="001A0AA4"/>
    <w:rsid w:val="001B488E"/>
    <w:rsid w:val="001D4EDD"/>
    <w:rsid w:val="00204D50"/>
    <w:rsid w:val="002238D2"/>
    <w:rsid w:val="00236170"/>
    <w:rsid w:val="00236583"/>
    <w:rsid w:val="00254190"/>
    <w:rsid w:val="002608DE"/>
    <w:rsid w:val="00263F24"/>
    <w:rsid w:val="002773B2"/>
    <w:rsid w:val="002A38C5"/>
    <w:rsid w:val="002C3E12"/>
    <w:rsid w:val="002D4659"/>
    <w:rsid w:val="002E6EF8"/>
    <w:rsid w:val="003171A5"/>
    <w:rsid w:val="00317ED1"/>
    <w:rsid w:val="00320351"/>
    <w:rsid w:val="00393166"/>
    <w:rsid w:val="003A53BF"/>
    <w:rsid w:val="003F4E9F"/>
    <w:rsid w:val="003F531C"/>
    <w:rsid w:val="00427A8D"/>
    <w:rsid w:val="0045773F"/>
    <w:rsid w:val="00467F5D"/>
    <w:rsid w:val="0048542F"/>
    <w:rsid w:val="00491B74"/>
    <w:rsid w:val="004D3918"/>
    <w:rsid w:val="004D6032"/>
    <w:rsid w:val="00510F28"/>
    <w:rsid w:val="0051567D"/>
    <w:rsid w:val="00552D44"/>
    <w:rsid w:val="00553D0C"/>
    <w:rsid w:val="005656B4"/>
    <w:rsid w:val="00565D8E"/>
    <w:rsid w:val="00571EBB"/>
    <w:rsid w:val="00581C5E"/>
    <w:rsid w:val="005829AC"/>
    <w:rsid w:val="00583A7E"/>
    <w:rsid w:val="005958FF"/>
    <w:rsid w:val="005B3251"/>
    <w:rsid w:val="005B39EC"/>
    <w:rsid w:val="005C3B9B"/>
    <w:rsid w:val="005E59C5"/>
    <w:rsid w:val="0062218D"/>
    <w:rsid w:val="006269F9"/>
    <w:rsid w:val="006318DC"/>
    <w:rsid w:val="00641326"/>
    <w:rsid w:val="006526A4"/>
    <w:rsid w:val="00657D16"/>
    <w:rsid w:val="00666427"/>
    <w:rsid w:val="006736E9"/>
    <w:rsid w:val="006A186B"/>
    <w:rsid w:val="006F5397"/>
    <w:rsid w:val="00700D83"/>
    <w:rsid w:val="00731F21"/>
    <w:rsid w:val="007326D2"/>
    <w:rsid w:val="00750297"/>
    <w:rsid w:val="00753E29"/>
    <w:rsid w:val="00760585"/>
    <w:rsid w:val="00761DCE"/>
    <w:rsid w:val="007629DA"/>
    <w:rsid w:val="00770722"/>
    <w:rsid w:val="007725DD"/>
    <w:rsid w:val="00774117"/>
    <w:rsid w:val="00787640"/>
    <w:rsid w:val="0079553D"/>
    <w:rsid w:val="00797A97"/>
    <w:rsid w:val="007A4A5C"/>
    <w:rsid w:val="007C5AB8"/>
    <w:rsid w:val="007E196A"/>
    <w:rsid w:val="007E78A4"/>
    <w:rsid w:val="007F15BA"/>
    <w:rsid w:val="007F1712"/>
    <w:rsid w:val="007F4E31"/>
    <w:rsid w:val="00807AFF"/>
    <w:rsid w:val="008330A4"/>
    <w:rsid w:val="00844A0F"/>
    <w:rsid w:val="00851255"/>
    <w:rsid w:val="0085606B"/>
    <w:rsid w:val="008B1C49"/>
    <w:rsid w:val="008C2A99"/>
    <w:rsid w:val="008C3C13"/>
    <w:rsid w:val="008D3FAC"/>
    <w:rsid w:val="008E2533"/>
    <w:rsid w:val="008F20E2"/>
    <w:rsid w:val="0092125A"/>
    <w:rsid w:val="009352FE"/>
    <w:rsid w:val="009502CF"/>
    <w:rsid w:val="009622FF"/>
    <w:rsid w:val="00983F3B"/>
    <w:rsid w:val="00990677"/>
    <w:rsid w:val="00990EDC"/>
    <w:rsid w:val="009B329E"/>
    <w:rsid w:val="009B6EA6"/>
    <w:rsid w:val="009C25DF"/>
    <w:rsid w:val="009C33A3"/>
    <w:rsid w:val="009D0B0C"/>
    <w:rsid w:val="009E1825"/>
    <w:rsid w:val="009E7469"/>
    <w:rsid w:val="009F5CAF"/>
    <w:rsid w:val="00A07025"/>
    <w:rsid w:val="00A2612C"/>
    <w:rsid w:val="00A338D0"/>
    <w:rsid w:val="00A400BE"/>
    <w:rsid w:val="00A65D2B"/>
    <w:rsid w:val="00A66481"/>
    <w:rsid w:val="00A96C06"/>
    <w:rsid w:val="00AA0781"/>
    <w:rsid w:val="00AA27B1"/>
    <w:rsid w:val="00AB015A"/>
    <w:rsid w:val="00AB36DF"/>
    <w:rsid w:val="00AC07B8"/>
    <w:rsid w:val="00B15E3E"/>
    <w:rsid w:val="00B17157"/>
    <w:rsid w:val="00B22139"/>
    <w:rsid w:val="00B2248E"/>
    <w:rsid w:val="00B24863"/>
    <w:rsid w:val="00B3218C"/>
    <w:rsid w:val="00B35814"/>
    <w:rsid w:val="00B40E24"/>
    <w:rsid w:val="00B8135A"/>
    <w:rsid w:val="00B86AD4"/>
    <w:rsid w:val="00BA5B53"/>
    <w:rsid w:val="00BB33EC"/>
    <w:rsid w:val="00BF0367"/>
    <w:rsid w:val="00BF3B6C"/>
    <w:rsid w:val="00C27438"/>
    <w:rsid w:val="00C333E7"/>
    <w:rsid w:val="00C705B1"/>
    <w:rsid w:val="00C76723"/>
    <w:rsid w:val="00CB290C"/>
    <w:rsid w:val="00CB407E"/>
    <w:rsid w:val="00CB5702"/>
    <w:rsid w:val="00CE3FF7"/>
    <w:rsid w:val="00CE5BD3"/>
    <w:rsid w:val="00D13093"/>
    <w:rsid w:val="00D142D9"/>
    <w:rsid w:val="00D27A5E"/>
    <w:rsid w:val="00D31D88"/>
    <w:rsid w:val="00D676AD"/>
    <w:rsid w:val="00D708B5"/>
    <w:rsid w:val="00D72986"/>
    <w:rsid w:val="00D76202"/>
    <w:rsid w:val="00D859FA"/>
    <w:rsid w:val="00D86938"/>
    <w:rsid w:val="00D94E5A"/>
    <w:rsid w:val="00DA47D3"/>
    <w:rsid w:val="00E1740B"/>
    <w:rsid w:val="00E63B59"/>
    <w:rsid w:val="00E644D3"/>
    <w:rsid w:val="00E6548F"/>
    <w:rsid w:val="00E65705"/>
    <w:rsid w:val="00E7508D"/>
    <w:rsid w:val="00E96683"/>
    <w:rsid w:val="00EA6F18"/>
    <w:rsid w:val="00EB430E"/>
    <w:rsid w:val="00EB6A1E"/>
    <w:rsid w:val="00EC280D"/>
    <w:rsid w:val="00EC506E"/>
    <w:rsid w:val="00EC6D87"/>
    <w:rsid w:val="00F16867"/>
    <w:rsid w:val="00F21F5F"/>
    <w:rsid w:val="00F4250C"/>
    <w:rsid w:val="00F95B92"/>
    <w:rsid w:val="00FB07E9"/>
    <w:rsid w:val="02266D76"/>
    <w:rsid w:val="0269024E"/>
    <w:rsid w:val="02E3366C"/>
    <w:rsid w:val="03286002"/>
    <w:rsid w:val="034C6DE8"/>
    <w:rsid w:val="035B3466"/>
    <w:rsid w:val="049F24FD"/>
    <w:rsid w:val="04E61EDD"/>
    <w:rsid w:val="053E2803"/>
    <w:rsid w:val="05667F69"/>
    <w:rsid w:val="057D0DB9"/>
    <w:rsid w:val="057E26A7"/>
    <w:rsid w:val="057F5505"/>
    <w:rsid w:val="05EF174E"/>
    <w:rsid w:val="060A3FE1"/>
    <w:rsid w:val="067F33EC"/>
    <w:rsid w:val="06DF2424"/>
    <w:rsid w:val="06E053D1"/>
    <w:rsid w:val="089009B6"/>
    <w:rsid w:val="08AE369A"/>
    <w:rsid w:val="08B17476"/>
    <w:rsid w:val="08E56B2A"/>
    <w:rsid w:val="0900385B"/>
    <w:rsid w:val="091D71FA"/>
    <w:rsid w:val="09306B98"/>
    <w:rsid w:val="096C5D28"/>
    <w:rsid w:val="09AA5B02"/>
    <w:rsid w:val="09B42E3F"/>
    <w:rsid w:val="0AE72067"/>
    <w:rsid w:val="0B6D4B94"/>
    <w:rsid w:val="0B7E465E"/>
    <w:rsid w:val="0B8D5D1A"/>
    <w:rsid w:val="0B987F0B"/>
    <w:rsid w:val="0BD62900"/>
    <w:rsid w:val="0BFF0380"/>
    <w:rsid w:val="0D0E09F9"/>
    <w:rsid w:val="0D35066E"/>
    <w:rsid w:val="0D71741F"/>
    <w:rsid w:val="0E8F51FC"/>
    <w:rsid w:val="11094FC8"/>
    <w:rsid w:val="11757A7D"/>
    <w:rsid w:val="11A35671"/>
    <w:rsid w:val="126C0D06"/>
    <w:rsid w:val="12824EA7"/>
    <w:rsid w:val="12AC3F1C"/>
    <w:rsid w:val="12B22E2F"/>
    <w:rsid w:val="13076FBB"/>
    <w:rsid w:val="13797DDF"/>
    <w:rsid w:val="149E6848"/>
    <w:rsid w:val="14C75790"/>
    <w:rsid w:val="14EF37F7"/>
    <w:rsid w:val="15420120"/>
    <w:rsid w:val="15B109F6"/>
    <w:rsid w:val="160D4084"/>
    <w:rsid w:val="169D4055"/>
    <w:rsid w:val="16F85AC2"/>
    <w:rsid w:val="175630BC"/>
    <w:rsid w:val="17875330"/>
    <w:rsid w:val="17F40850"/>
    <w:rsid w:val="1967597A"/>
    <w:rsid w:val="19A34541"/>
    <w:rsid w:val="19F91E7B"/>
    <w:rsid w:val="1A733FC3"/>
    <w:rsid w:val="1AE91E13"/>
    <w:rsid w:val="1AEA0689"/>
    <w:rsid w:val="1B0956C6"/>
    <w:rsid w:val="1B166CA4"/>
    <w:rsid w:val="1BEC7E99"/>
    <w:rsid w:val="1C5F43AA"/>
    <w:rsid w:val="1CA11BE9"/>
    <w:rsid w:val="1CC1108C"/>
    <w:rsid w:val="1D5626FA"/>
    <w:rsid w:val="1E271427"/>
    <w:rsid w:val="1EA405BB"/>
    <w:rsid w:val="1EAE3D92"/>
    <w:rsid w:val="1F820A02"/>
    <w:rsid w:val="1F991FC1"/>
    <w:rsid w:val="20251D9C"/>
    <w:rsid w:val="20B301C3"/>
    <w:rsid w:val="20CB7043"/>
    <w:rsid w:val="22A02DF5"/>
    <w:rsid w:val="22A847F0"/>
    <w:rsid w:val="22E513F2"/>
    <w:rsid w:val="23392B8B"/>
    <w:rsid w:val="23C9096B"/>
    <w:rsid w:val="23CF4B29"/>
    <w:rsid w:val="242C5EC8"/>
    <w:rsid w:val="244E00E2"/>
    <w:rsid w:val="244F38A7"/>
    <w:rsid w:val="24DD7C09"/>
    <w:rsid w:val="251C1F03"/>
    <w:rsid w:val="25494F93"/>
    <w:rsid w:val="25FE684D"/>
    <w:rsid w:val="264427D9"/>
    <w:rsid w:val="269F5837"/>
    <w:rsid w:val="26B922F1"/>
    <w:rsid w:val="26D54F9A"/>
    <w:rsid w:val="271058B6"/>
    <w:rsid w:val="286D716A"/>
    <w:rsid w:val="293F666B"/>
    <w:rsid w:val="295D255D"/>
    <w:rsid w:val="29794228"/>
    <w:rsid w:val="29833BCC"/>
    <w:rsid w:val="29857D9F"/>
    <w:rsid w:val="29DA6D98"/>
    <w:rsid w:val="29FE302E"/>
    <w:rsid w:val="2AD257FA"/>
    <w:rsid w:val="2AFC524D"/>
    <w:rsid w:val="2B875363"/>
    <w:rsid w:val="2BB15FBB"/>
    <w:rsid w:val="2C0C4876"/>
    <w:rsid w:val="2C3111F2"/>
    <w:rsid w:val="2D0066B2"/>
    <w:rsid w:val="2D0D08EA"/>
    <w:rsid w:val="2F0F5B28"/>
    <w:rsid w:val="2FE240CE"/>
    <w:rsid w:val="30C31E56"/>
    <w:rsid w:val="30F422A0"/>
    <w:rsid w:val="31875E70"/>
    <w:rsid w:val="32386ADF"/>
    <w:rsid w:val="3286671F"/>
    <w:rsid w:val="33A42A41"/>
    <w:rsid w:val="33D27C68"/>
    <w:rsid w:val="33E92B0D"/>
    <w:rsid w:val="34E7554B"/>
    <w:rsid w:val="351A1C6F"/>
    <w:rsid w:val="36FF6BFE"/>
    <w:rsid w:val="374F79CB"/>
    <w:rsid w:val="37655B90"/>
    <w:rsid w:val="37B05AB3"/>
    <w:rsid w:val="38782779"/>
    <w:rsid w:val="38AC23B8"/>
    <w:rsid w:val="38CE6389"/>
    <w:rsid w:val="38CF71EC"/>
    <w:rsid w:val="39AF6880"/>
    <w:rsid w:val="39B85F7D"/>
    <w:rsid w:val="3A20282B"/>
    <w:rsid w:val="3A2B1EE1"/>
    <w:rsid w:val="3AAF2F15"/>
    <w:rsid w:val="3ABD5AD5"/>
    <w:rsid w:val="3C660875"/>
    <w:rsid w:val="3D0A18F5"/>
    <w:rsid w:val="3D5C6730"/>
    <w:rsid w:val="3D6C5F88"/>
    <w:rsid w:val="3D95172B"/>
    <w:rsid w:val="3DF67E62"/>
    <w:rsid w:val="3E1107BA"/>
    <w:rsid w:val="3E1E11B6"/>
    <w:rsid w:val="3E224180"/>
    <w:rsid w:val="3E5E356B"/>
    <w:rsid w:val="3E831DF2"/>
    <w:rsid w:val="3F52502F"/>
    <w:rsid w:val="3F8A099B"/>
    <w:rsid w:val="3FDB2472"/>
    <w:rsid w:val="406E7AB4"/>
    <w:rsid w:val="407F7567"/>
    <w:rsid w:val="40D11E6D"/>
    <w:rsid w:val="40F944FD"/>
    <w:rsid w:val="41606F71"/>
    <w:rsid w:val="41786ED5"/>
    <w:rsid w:val="417E7B1F"/>
    <w:rsid w:val="42264979"/>
    <w:rsid w:val="42A54577"/>
    <w:rsid w:val="436E45D4"/>
    <w:rsid w:val="43FB34E3"/>
    <w:rsid w:val="46DE2FCF"/>
    <w:rsid w:val="46FE6ACC"/>
    <w:rsid w:val="472E01B7"/>
    <w:rsid w:val="477502C3"/>
    <w:rsid w:val="479C4F98"/>
    <w:rsid w:val="47BE243E"/>
    <w:rsid w:val="480E280B"/>
    <w:rsid w:val="483C6D6B"/>
    <w:rsid w:val="4898532F"/>
    <w:rsid w:val="48BE04CD"/>
    <w:rsid w:val="49505B09"/>
    <w:rsid w:val="49A81C04"/>
    <w:rsid w:val="49B45909"/>
    <w:rsid w:val="49F07F24"/>
    <w:rsid w:val="4A3B7EFD"/>
    <w:rsid w:val="4A671AF0"/>
    <w:rsid w:val="4C0578C9"/>
    <w:rsid w:val="4C2C0768"/>
    <w:rsid w:val="4C955E6A"/>
    <w:rsid w:val="4CC224A1"/>
    <w:rsid w:val="4CDE22A6"/>
    <w:rsid w:val="4CDE71B5"/>
    <w:rsid w:val="4D2C5CE5"/>
    <w:rsid w:val="4DF63486"/>
    <w:rsid w:val="4E310B19"/>
    <w:rsid w:val="4ECA7428"/>
    <w:rsid w:val="4ED90E8A"/>
    <w:rsid w:val="4F227008"/>
    <w:rsid w:val="4F78489A"/>
    <w:rsid w:val="4F7C3433"/>
    <w:rsid w:val="4FBE5CFC"/>
    <w:rsid w:val="4FC93A25"/>
    <w:rsid w:val="50250947"/>
    <w:rsid w:val="51EB13F1"/>
    <w:rsid w:val="51FC368E"/>
    <w:rsid w:val="521B7961"/>
    <w:rsid w:val="525572BC"/>
    <w:rsid w:val="53023F18"/>
    <w:rsid w:val="547D3082"/>
    <w:rsid w:val="54846FAF"/>
    <w:rsid w:val="556E13DF"/>
    <w:rsid w:val="55FE6296"/>
    <w:rsid w:val="564179D4"/>
    <w:rsid w:val="56C94EF1"/>
    <w:rsid w:val="56FB2D59"/>
    <w:rsid w:val="572C7B6E"/>
    <w:rsid w:val="57E02CC4"/>
    <w:rsid w:val="5806575B"/>
    <w:rsid w:val="5820424A"/>
    <w:rsid w:val="586D2730"/>
    <w:rsid w:val="5977420E"/>
    <w:rsid w:val="59A91E33"/>
    <w:rsid w:val="5B16391D"/>
    <w:rsid w:val="5B4C2D87"/>
    <w:rsid w:val="5BE36E86"/>
    <w:rsid w:val="5BE96BD2"/>
    <w:rsid w:val="5CDB7595"/>
    <w:rsid w:val="5D3C3C80"/>
    <w:rsid w:val="5D9D3B0A"/>
    <w:rsid w:val="5E185567"/>
    <w:rsid w:val="5EF1324C"/>
    <w:rsid w:val="5F181A7E"/>
    <w:rsid w:val="5F9D4EC1"/>
    <w:rsid w:val="5FA8229C"/>
    <w:rsid w:val="5FC90F09"/>
    <w:rsid w:val="6102639D"/>
    <w:rsid w:val="61224496"/>
    <w:rsid w:val="61643E45"/>
    <w:rsid w:val="61B551C2"/>
    <w:rsid w:val="61D974EA"/>
    <w:rsid w:val="61F9506F"/>
    <w:rsid w:val="630667D6"/>
    <w:rsid w:val="635861EB"/>
    <w:rsid w:val="63A1157F"/>
    <w:rsid w:val="63D7719D"/>
    <w:rsid w:val="674548F2"/>
    <w:rsid w:val="68820F9E"/>
    <w:rsid w:val="68F33E2A"/>
    <w:rsid w:val="69520819"/>
    <w:rsid w:val="69F06A68"/>
    <w:rsid w:val="69F66289"/>
    <w:rsid w:val="6AFA33C8"/>
    <w:rsid w:val="6B600F35"/>
    <w:rsid w:val="6B6A52CA"/>
    <w:rsid w:val="6BF272AA"/>
    <w:rsid w:val="6CCA47A4"/>
    <w:rsid w:val="6DE40D17"/>
    <w:rsid w:val="6E2B5605"/>
    <w:rsid w:val="6F8209E6"/>
    <w:rsid w:val="6FEB697C"/>
    <w:rsid w:val="70162187"/>
    <w:rsid w:val="71570FA0"/>
    <w:rsid w:val="71AA3891"/>
    <w:rsid w:val="71E51BE7"/>
    <w:rsid w:val="73334410"/>
    <w:rsid w:val="73972C56"/>
    <w:rsid w:val="73DC371F"/>
    <w:rsid w:val="74020F18"/>
    <w:rsid w:val="754212B5"/>
    <w:rsid w:val="757019C3"/>
    <w:rsid w:val="75920ECD"/>
    <w:rsid w:val="75C4541A"/>
    <w:rsid w:val="77C06189"/>
    <w:rsid w:val="79071C28"/>
    <w:rsid w:val="79160DCD"/>
    <w:rsid w:val="79B51098"/>
    <w:rsid w:val="79FA7436"/>
    <w:rsid w:val="7A246439"/>
    <w:rsid w:val="7B086DF1"/>
    <w:rsid w:val="7C997DD7"/>
    <w:rsid w:val="7CFF79D6"/>
    <w:rsid w:val="7E5E6B09"/>
    <w:rsid w:val="7ECE0BCC"/>
    <w:rsid w:val="7F00749D"/>
    <w:rsid w:val="7F204461"/>
    <w:rsid w:val="7F514621"/>
    <w:rsid w:val="7FB2360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kinsoku w:val="0"/>
      <w:autoSpaceDE w:val="0"/>
      <w:autoSpaceDN w:val="0"/>
      <w:spacing w:beforeLines="50" w:afterLines="50"/>
      <w:textAlignment w:val="baseline"/>
      <w:outlineLvl w:val="0"/>
    </w:pPr>
    <w:rPr>
      <w:rFonts w:ascii="Times New Roman" w:hAnsi="Times New Roman" w:eastAsia="黑体" w:cs="Times New Roman"/>
      <w:b/>
      <w:kern w:val="44"/>
      <w:sz w:val="32"/>
      <w:lang w:val="en-US" w:eastAsia="zh-CN" w:bidi="ar-SA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0"/>
      </w:tabs>
      <w:spacing w:beforeLines="50" w:afterLines="50" w:line="240" w:lineRule="auto"/>
      <w:ind w:firstLineChars="0"/>
      <w:outlineLvl w:val="1"/>
    </w:pPr>
    <w:rPr>
      <w:rFonts w:ascii="Arial" w:hAnsi="Arial" w:eastAsia="黑体"/>
      <w:b/>
      <w:sz w:val="30"/>
    </w:rPr>
  </w:style>
  <w:style w:type="paragraph" w:styleId="4">
    <w:name w:val="heading 3"/>
    <w:next w:val="1"/>
    <w:qFormat/>
    <w:uiPriority w:val="0"/>
    <w:pPr>
      <w:keepNext/>
      <w:keepLines/>
      <w:numPr>
        <w:ilvl w:val="2"/>
        <w:numId w:val="1"/>
      </w:numPr>
      <w:tabs>
        <w:tab w:val="left" w:pos="0"/>
      </w:tabs>
      <w:spacing w:beforeLines="50" w:afterLines="50"/>
      <w:outlineLvl w:val="2"/>
    </w:pPr>
    <w:rPr>
      <w:rFonts w:ascii="Times New Roman" w:hAnsi="Times New Roman" w:eastAsia="黑体" w:cs="Times New Roman"/>
      <w:b/>
      <w:sz w:val="28"/>
      <w:lang w:val="en-US" w:eastAsia="zh-CN" w:bidi="ar-SA"/>
    </w:rPr>
  </w:style>
  <w:style w:type="paragraph" w:styleId="5">
    <w:name w:val="heading 4"/>
    <w:next w:val="1"/>
    <w:qFormat/>
    <w:uiPriority w:val="0"/>
    <w:pPr>
      <w:keepNext/>
      <w:keepLines/>
      <w:numPr>
        <w:ilvl w:val="3"/>
        <w:numId w:val="1"/>
      </w:numPr>
      <w:tabs>
        <w:tab w:val="left" w:pos="420"/>
      </w:tabs>
      <w:spacing w:beforeLines="50" w:afterLines="50"/>
      <w:outlineLvl w:val="3"/>
    </w:pPr>
    <w:rPr>
      <w:rFonts w:ascii="Arial" w:hAnsi="Arial" w:eastAsia="黑体" w:cs="Times New Roman"/>
      <w:b/>
      <w:sz w:val="24"/>
      <w:lang w:val="en-US" w:eastAsia="zh-CN" w:bidi="ar-SA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eastAsia="微软雅黑"/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6"/>
    <w:qFormat/>
    <w:uiPriority w:val="0"/>
    <w:pPr>
      <w:jc w:val="left"/>
    </w:pPr>
  </w:style>
  <w:style w:type="paragraph" w:styleId="8">
    <w:name w:val="toc 5"/>
    <w:basedOn w:val="1"/>
    <w:next w:val="1"/>
    <w:qFormat/>
    <w:uiPriority w:val="0"/>
    <w:rPr>
      <w:rFonts w:eastAsia="微软雅黑"/>
    </w:rPr>
  </w:style>
  <w:style w:type="paragraph" w:styleId="9">
    <w:name w:val="toc 3"/>
    <w:basedOn w:val="1"/>
    <w:next w:val="1"/>
    <w:link w:val="39"/>
    <w:qFormat/>
    <w:uiPriority w:val="39"/>
    <w:pPr>
      <w:adjustRightInd w:val="0"/>
      <w:ind w:firstLine="0" w:firstLineChars="0"/>
      <w:jc w:val="center"/>
    </w:pPr>
    <w:rPr>
      <w:rFonts w:eastAsia="黑体"/>
      <w:sz w:val="36"/>
    </w:rPr>
  </w:style>
  <w:style w:type="paragraph" w:styleId="10">
    <w:name w:val="Balloon Text"/>
    <w:basedOn w:val="1"/>
    <w:link w:val="34"/>
    <w:qFormat/>
    <w:uiPriority w:val="0"/>
    <w:pPr>
      <w:spacing w:line="240" w:lineRule="auto"/>
    </w:pPr>
    <w:rPr>
      <w:sz w:val="18"/>
      <w:szCs w:val="18"/>
    </w:rPr>
  </w:style>
  <w:style w:type="paragraph" w:styleId="11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link w:val="3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3">
    <w:name w:val="toc 1"/>
    <w:basedOn w:val="1"/>
    <w:next w:val="1"/>
    <w:qFormat/>
    <w:uiPriority w:val="39"/>
    <w:pPr>
      <w:kinsoku w:val="0"/>
      <w:autoSpaceDE w:val="0"/>
      <w:autoSpaceDN w:val="0"/>
      <w:adjustRightInd w:val="0"/>
      <w:snapToGrid w:val="0"/>
      <w:textAlignment w:val="baseline"/>
    </w:pPr>
  </w:style>
  <w:style w:type="paragraph" w:styleId="14">
    <w:name w:val="toc 4"/>
    <w:basedOn w:val="1"/>
    <w:next w:val="1"/>
    <w:qFormat/>
    <w:uiPriority w:val="0"/>
    <w:rPr>
      <w:rFonts w:eastAsia="微软雅黑"/>
    </w:rPr>
  </w:style>
  <w:style w:type="paragraph" w:styleId="15">
    <w:name w:val="toc 2"/>
    <w:basedOn w:val="1"/>
    <w:next w:val="1"/>
    <w:qFormat/>
    <w:uiPriority w:val="39"/>
  </w:style>
  <w:style w:type="paragraph" w:styleId="16">
    <w:name w:val="annotation subject"/>
    <w:basedOn w:val="7"/>
    <w:next w:val="7"/>
    <w:link w:val="37"/>
    <w:qFormat/>
    <w:uiPriority w:val="0"/>
    <w:rPr>
      <w:b/>
      <w:bCs/>
    </w:rPr>
  </w:style>
  <w:style w:type="table" w:styleId="18">
    <w:name w:val="Table Grid"/>
    <w:basedOn w:val="17"/>
    <w:qFormat/>
    <w:uiPriority w:val="99"/>
    <w:rPr>
      <w:kern w:val="2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page number"/>
    <w:basedOn w:val="19"/>
    <w:qFormat/>
    <w:uiPriority w:val="0"/>
  </w:style>
  <w:style w:type="character" w:styleId="21">
    <w:name w:val="Hyperlink"/>
    <w:basedOn w:val="19"/>
    <w:unhideWhenUsed/>
    <w:qFormat/>
    <w:uiPriority w:val="99"/>
    <w:rPr>
      <w:color w:val="0563C1" w:themeColor="hyperlink"/>
      <w:u w:val="single"/>
    </w:rPr>
  </w:style>
  <w:style w:type="character" w:styleId="22">
    <w:name w:val="annotation reference"/>
    <w:basedOn w:val="19"/>
    <w:qFormat/>
    <w:uiPriority w:val="0"/>
    <w:rPr>
      <w:sz w:val="21"/>
      <w:szCs w:val="21"/>
    </w:rPr>
  </w:style>
  <w:style w:type="character" w:customStyle="1" w:styleId="23">
    <w:name w:val="common"/>
    <w:qFormat/>
    <w:uiPriority w:val="0"/>
    <w:rPr>
      <w:rFonts w:ascii="微软雅黑" w:hAnsi="微软雅黑" w:eastAsia="微软雅黑" w:cs="微软雅黑"/>
      <w:b/>
      <w:sz w:val="18"/>
      <w:szCs w:val="18"/>
    </w:rPr>
  </w:style>
  <w:style w:type="character" w:customStyle="1" w:styleId="24">
    <w:name w:val="页脚 字符"/>
    <w:link w:val="11"/>
    <w:qFormat/>
    <w:uiPriority w:val="99"/>
    <w:rPr>
      <w:rFonts w:ascii="Calibri" w:hAnsi="Calibri"/>
      <w:kern w:val="2"/>
      <w:sz w:val="18"/>
      <w:szCs w:val="24"/>
    </w:rPr>
  </w:style>
  <w:style w:type="paragraph" w:styleId="25">
    <w:name w:val="List Paragraph"/>
    <w:basedOn w:val="1"/>
    <w:qFormat/>
    <w:uiPriority w:val="34"/>
    <w:pPr>
      <w:ind w:firstLine="420"/>
    </w:pPr>
  </w:style>
  <w:style w:type="paragraph" w:customStyle="1" w:styleId="26">
    <w:name w:val="小标题"/>
    <w:basedOn w:val="27"/>
    <w:qFormat/>
    <w:uiPriority w:val="0"/>
  </w:style>
  <w:style w:type="paragraph" w:customStyle="1" w:styleId="27">
    <w:name w:val="深信服居中正文"/>
    <w:basedOn w:val="1"/>
    <w:qFormat/>
    <w:uiPriority w:val="0"/>
    <w:pPr>
      <w:jc w:val="center"/>
    </w:pPr>
    <w:rPr>
      <w:rFonts w:eastAsia="微软雅黑"/>
    </w:rPr>
  </w:style>
  <w:style w:type="paragraph" w:customStyle="1" w:styleId="28">
    <w:name w:val="正文 表格文字用"/>
    <w:basedOn w:val="1"/>
    <w:qFormat/>
    <w:uiPriority w:val="0"/>
  </w:style>
  <w:style w:type="paragraph" w:customStyle="1" w:styleId="29">
    <w:name w:val="封面版权声明（深信服）"/>
    <w:basedOn w:val="30"/>
    <w:qFormat/>
    <w:uiPriority w:val="0"/>
    <w:pPr>
      <w:framePr w:w="8709" w:wrap="notBeside" w:vAnchor="text" w:hAnchor="margin" w:y="5"/>
      <w:pBdr>
        <w:bottom w:val="single" w:color="auto" w:sz="24" w:space="1"/>
      </w:pBdr>
    </w:pPr>
    <w:rPr>
      <w:rFonts w:ascii="微软雅黑" w:hAnsi="微软雅黑" w:eastAsia="微软雅黑"/>
      <w:b/>
      <w:sz w:val="18"/>
    </w:rPr>
  </w:style>
  <w:style w:type="paragraph" w:customStyle="1" w:styleId="30">
    <w:name w:val="正文（深信服）"/>
    <w:qFormat/>
    <w:uiPriority w:val="0"/>
    <w:pPr>
      <w:spacing w:line="360" w:lineRule="auto"/>
    </w:pPr>
    <w:rPr>
      <w:rFonts w:ascii="Arial" w:hAnsi="Arial" w:eastAsia="宋体" w:cs="Times New Roman"/>
      <w:kern w:val="2"/>
      <w:sz w:val="21"/>
      <w:szCs w:val="21"/>
      <w:lang w:val="en-US" w:eastAsia="zh-CN" w:bidi="ar-SA"/>
    </w:rPr>
  </w:style>
  <w:style w:type="paragraph" w:customStyle="1" w:styleId="31">
    <w:name w:val="大标题"/>
    <w:basedOn w:val="1"/>
    <w:qFormat/>
    <w:uiPriority w:val="0"/>
    <w:pPr>
      <w:jc w:val="center"/>
    </w:pPr>
    <w:rPr>
      <w:rFonts w:eastAsia="黑体"/>
      <w:b/>
      <w:sz w:val="52"/>
      <w:szCs w:val="84"/>
    </w:rPr>
  </w:style>
  <w:style w:type="paragraph" w:customStyle="1" w:styleId="32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3">
    <w:name w:val="表格样式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sz w:val="21"/>
      <w:lang w:val="en-US" w:eastAsia="zh-CN" w:bidi="ar-SA"/>
    </w:rPr>
  </w:style>
  <w:style w:type="character" w:customStyle="1" w:styleId="34">
    <w:name w:val="批注框文本 字符"/>
    <w:basedOn w:val="19"/>
    <w:link w:val="10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35">
    <w:name w:val="页眉 字符"/>
    <w:basedOn w:val="19"/>
    <w:link w:val="12"/>
    <w:qFormat/>
    <w:uiPriority w:val="99"/>
    <w:rPr>
      <w:rFonts w:ascii="Calibri" w:hAnsi="Calibri"/>
      <w:kern w:val="2"/>
      <w:sz w:val="18"/>
      <w:szCs w:val="24"/>
    </w:rPr>
  </w:style>
  <w:style w:type="character" w:customStyle="1" w:styleId="36">
    <w:name w:val="批注文字 字符"/>
    <w:basedOn w:val="19"/>
    <w:link w:val="7"/>
    <w:qFormat/>
    <w:uiPriority w:val="0"/>
    <w:rPr>
      <w:rFonts w:ascii="Calibri" w:hAnsi="Calibri"/>
      <w:kern w:val="2"/>
      <w:sz w:val="24"/>
      <w:szCs w:val="24"/>
    </w:rPr>
  </w:style>
  <w:style w:type="character" w:customStyle="1" w:styleId="37">
    <w:name w:val="批注主题 字符"/>
    <w:basedOn w:val="36"/>
    <w:link w:val="16"/>
    <w:qFormat/>
    <w:uiPriority w:val="0"/>
    <w:rPr>
      <w:rFonts w:ascii="Calibri" w:hAnsi="Calibri"/>
      <w:b/>
      <w:bCs/>
      <w:kern w:val="2"/>
      <w:sz w:val="24"/>
      <w:szCs w:val="24"/>
    </w:rPr>
  </w:style>
  <w:style w:type="paragraph" w:customStyle="1" w:styleId="3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9">
    <w:name w:val="目录 3 字符"/>
    <w:link w:val="9"/>
    <w:qFormat/>
    <w:uiPriority w:val="39"/>
    <w:rPr>
      <w:rFonts w:eastAsia="黑体"/>
      <w:sz w:val="36"/>
    </w:rPr>
  </w:style>
  <w:style w:type="table" w:customStyle="1" w:styleId="40">
    <w:name w:val="网格型1"/>
    <w:basedOn w:val="17"/>
    <w:unhideWhenUsed/>
    <w:qFormat/>
    <w:uiPriority w:val="99"/>
    <w:pPr>
      <w:widowControl w:val="0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网格型2"/>
    <w:basedOn w:val="17"/>
    <w:unhideWhenUsed/>
    <w:qFormat/>
    <w:uiPriority w:val="99"/>
    <w:pPr>
      <w:widowControl w:val="0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网格型3"/>
    <w:basedOn w:val="17"/>
    <w:unhideWhenUsed/>
    <w:qFormat/>
    <w:uiPriority w:val="99"/>
    <w:pPr>
      <w:widowControl w:val="0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1327</Words>
  <Characters>1716</Characters>
  <Lines>50</Lines>
  <Paragraphs>14</Paragraphs>
  <TotalTime>0</TotalTime>
  <ScaleCrop>false</ScaleCrop>
  <LinksUpToDate>false</LinksUpToDate>
  <CharactersWithSpaces>1800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2020-07-27T03:14:00Z</dcterms:created>
  <dc:creator>Bennett</dc:creator>
  <cp:lastModifiedBy>李大鹏</cp:lastModifiedBy>
  <dcterms:modified xsi:type="dcterms:W3CDTF">2025-12-16T03:30:10Z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E6B682872ECA43A8B7E93BC9A6E4F07F</vt:lpwstr>
  </property>
  <property fmtid="{D5CDD505-2E9C-101B-9397-08002B2CF9AE}" pid="4" name="KSOTemplateDocerSaveRecord">
    <vt:lpwstr>eyJoZGlkIjoiYmRkZTE4NzMzZTdjOTMwZTc0NDNhZTk3MWIzYjY3MWMiLCJ1c2VySWQiOiIxMzQ4NzUzMDIzIn0=</vt:lpwstr>
  </property>
</Properties>
</file>