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5B4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复现</w:t>
      </w:r>
    </w:p>
    <w:p w14:paraId="171E753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目前结果存在较大误差，不确定是代码问题 还是方法问题，大概率方法存在问题</w:t>
      </w:r>
    </w:p>
    <w:p w14:paraId="6FD4802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先理解方法+代码，看下能否跑通</w:t>
      </w:r>
    </w:p>
    <w:p w14:paraId="73113AC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</w:t>
      </w:r>
    </w:p>
    <w:p w14:paraId="5785F47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借鉴相应思路，找合适对比方法，优化现有工作，形成新的实验。</w:t>
      </w:r>
      <w:bookmarkStart w:id="0" w:name="_GoBack"/>
      <w:bookmarkEnd w:id="0"/>
    </w:p>
    <w:p w14:paraId="10E5A9EC">
      <w:pPr>
        <w:rPr>
          <w:rFonts w:hint="eastAsia"/>
          <w:lang w:val="en-US" w:eastAsia="zh-CN"/>
        </w:rPr>
      </w:pPr>
    </w:p>
    <w:p w14:paraId="23180E83">
      <w:pPr>
        <w:rPr>
          <w:rFonts w:hint="eastAsia"/>
          <w:lang w:val="en-US" w:eastAsia="zh-CN"/>
        </w:rPr>
      </w:pPr>
    </w:p>
    <w:p w14:paraId="7015B126">
      <w:pPr>
        <w:rPr>
          <w:rFonts w:hint="eastAsia"/>
          <w:lang w:val="en-US" w:eastAsia="zh-CN"/>
        </w:rPr>
      </w:pPr>
    </w:p>
    <w:p w14:paraId="4CAE1A4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快速理解</w:t>
      </w:r>
    </w:p>
    <w:p w14:paraId="0E54A69C">
      <w:pPr>
        <w:keepNext w:val="0"/>
        <w:keepLines w:val="0"/>
        <w:widowControl/>
        <w:suppressLineNumbers w:val="0"/>
        <w:jc w:val="left"/>
      </w:pPr>
    </w:p>
    <w:p w14:paraId="58A6D66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1. 蓝色 对应 球面分层，每一层代表从原点出发的等距分层。通过Round公式将点分到不同层；</w:t>
      </w:r>
    </w:p>
    <w:p w14:paraId="00C82B4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2. 黄色环，相当于查询点q和某个半径范围定义的领域Bq。对应的查询点的搜索范围。和蓝色的交集处理，可以缩小候选集的范围；</w:t>
      </w:r>
    </w:p>
    <w:p w14:paraId="3C686CE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3. 绿色对应角度，计算点和查询点的夹角，可以筛选出一些不可能的点。类似于一个过滤机制，这样可以降低计算负担。</w:t>
      </w:r>
    </w:p>
    <w:p w14:paraId="796C2832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​</w:t>
      </w:r>
    </w:p>
    <w:p w14:paraId="401C4322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步骤先分层 再角度筛选。</w:t>
      </w:r>
    </w:p>
    <w:p w14:paraId="4AB03560">
      <w:r>
        <w:drawing>
          <wp:inline distT="0" distB="0" distL="114300" distR="114300">
            <wp:extent cx="5269865" cy="3606165"/>
            <wp:effectExtent l="0" t="0" r="133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489D"/>
    <w:p w14:paraId="303BB1F9"/>
    <w:p w14:paraId="02330BB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实验问题</w:t>
      </w:r>
    </w:p>
    <w:p w14:paraId="3395AF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1、实验的参数不明确，指标不明确</w:t>
      </w:r>
    </w:p>
    <w:p w14:paraId="056C2E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实验中的利用蒙特卡洛方法对候选点进行采样，但其中的α和β和e值不确定，导致采样计算容易超出候选集范围而报错。</w:t>
      </w:r>
    </w:p>
    <w:p w14:paraId="38CFA40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环划分的间隔参数不清楚。</w:t>
      </w:r>
    </w:p>
    <w:p w14:paraId="347866F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实验的指标，不清楚是由什么参数计算而成的。以下是原文，不清楚检索出相关的数据数量与数据集真实的相关数量、总检索出的数量、相关数据的数量占总候选集数量是什么。然后候选集为什么会有重复点。</w:t>
      </w:r>
    </w:p>
    <w:p w14:paraId="419DAC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召回率，又称为查全率，是指检索出相关的数据数量与数据集真实的相关数量的比值，在近似搜索应用中，可用来衡量近似查询算法查询结果覆盖的近似范围，</w:t>
      </w:r>
    </w:p>
    <w:p w14:paraId="23BB366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单一准确率，又称为查准率，指检索出的相关数据数量占总检索出的数量的比值，常用来衡量查询结果的质量，以上两个指标均在对候选集进行unique之后进行计算，</w:t>
      </w:r>
    </w:p>
    <w:p w14:paraId="283B98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候选集准确率，指在候选集包含重复点是，其相关数据的数量占总候选集数量的比值，该结果主要影响对候选集进行重要性抽样的效果，该值越大，则在抽样时越容易抽样到环内的点。</w:t>
      </w:r>
    </w:p>
    <w:p w14:paraId="665260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2、实验过程不是很清楚</w:t>
      </w:r>
    </w:p>
    <w:p w14:paraId="20876F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为了加快速度，我修改成先利用近似环寻找候选集，再利用哈希表筛选相关点的候选集，最后根据半径对每一个环中的候选集进行核密度估计计算。</w:t>
      </w:r>
    </w:p>
    <w:p w14:paraId="609BEF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核密度估计依旧有误差，但速度变快了。</w:t>
      </w:r>
    </w:p>
    <w:p w14:paraId="5BBCA19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可能是还没搞懂实验方法是什么。</w:t>
      </w:r>
    </w:p>
    <w:p w14:paraId="76CF13B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C57D5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E0880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算法复现</w:t>
      </w:r>
      <w:r>
        <w:rPr>
          <w:rFonts w:ascii="Arial" w:hAnsi="Arial" w:eastAsia="等线" w:cs="Arial"/>
          <w:sz w:val="22"/>
        </w:rPr>
        <w:t>：</w:t>
      </w:r>
    </w:p>
    <w:p w14:paraId="4148AE63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近似环划分算法</w:t>
      </w:r>
      <w:r>
        <w:rPr>
          <w:rFonts w:ascii="Arial" w:hAnsi="Arial" w:eastAsia="等线" w:cs="Arial"/>
          <w:sz w:val="22"/>
        </w:rPr>
        <w:t>：实现环划分的逻辑，包括确定环的范围和查询点。</w:t>
      </w:r>
    </w:p>
    <w:p w14:paraId="03AB759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LSH算法</w:t>
      </w:r>
      <w:r>
        <w:rPr>
          <w:rFonts w:ascii="Arial" w:hAnsi="Arial" w:eastAsia="等线" w:cs="Arial"/>
          <w:sz w:val="22"/>
        </w:rPr>
        <w:t>：复现局部敏感哈希算法，用于在角空间中进行快速近似近邻搜索。</w:t>
      </w:r>
    </w:p>
    <w:p w14:paraId="6CD6B70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距离转换</w:t>
      </w:r>
      <w:r>
        <w:rPr>
          <w:rFonts w:ascii="Arial" w:hAnsi="Arial" w:eastAsia="等线" w:cs="Arial"/>
          <w:sz w:val="22"/>
        </w:rPr>
        <w:t>：实现欧式距离到角距离的转换方法。</w:t>
      </w:r>
    </w:p>
    <w:p w14:paraId="74B89AB6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核密度估计</w:t>
      </w:r>
      <w:r>
        <w:rPr>
          <w:rFonts w:ascii="Arial" w:hAnsi="Arial" w:eastAsia="等线" w:cs="Arial"/>
          <w:sz w:val="22"/>
        </w:rPr>
        <w:t>：实现核密度估计的核心算法，包括高斯核函数。</w:t>
      </w:r>
    </w:p>
    <w:p w14:paraId="42A26E3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模块设计</w:t>
      </w:r>
      <w:r>
        <w:rPr>
          <w:rFonts w:ascii="Arial" w:hAnsi="Arial" w:eastAsia="等线" w:cs="Arial"/>
          <w:sz w:val="22"/>
        </w:rPr>
        <w:t>：</w:t>
      </w:r>
    </w:p>
    <w:p w14:paraId="762345F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数据预处理模块</w:t>
      </w:r>
      <w:r>
        <w:rPr>
          <w:rFonts w:ascii="Arial" w:hAnsi="Arial" w:eastAsia="等线" w:cs="Arial"/>
          <w:sz w:val="22"/>
        </w:rPr>
        <w:t>：包括数据清洗、标准化和可能的降维处理。</w:t>
      </w:r>
    </w:p>
    <w:p w14:paraId="458055F3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环划分模块</w:t>
      </w:r>
      <w:r>
        <w:rPr>
          <w:rFonts w:ascii="Arial" w:hAnsi="Arial" w:eastAsia="等线" w:cs="Arial"/>
          <w:sz w:val="22"/>
        </w:rPr>
        <w:t>：实现基于查询点的环划分逻辑。</w:t>
      </w:r>
    </w:p>
    <w:p w14:paraId="3377E4AA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LSH索引构建模块</w:t>
      </w:r>
      <w:r>
        <w:rPr>
          <w:rFonts w:ascii="Arial" w:hAnsi="Arial" w:eastAsia="等线" w:cs="Arial"/>
          <w:sz w:val="22"/>
        </w:rPr>
        <w:t>：构建用于快速搜索的LSH索引。</w:t>
      </w:r>
    </w:p>
    <w:p w14:paraId="792D4AE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距离转换模块</w:t>
      </w:r>
      <w:r>
        <w:rPr>
          <w:rFonts w:ascii="Arial" w:hAnsi="Arial" w:eastAsia="等线" w:cs="Arial"/>
          <w:sz w:val="22"/>
        </w:rPr>
        <w:t>：实现欧式距离到角距离的转换。</w:t>
      </w:r>
    </w:p>
    <w:p w14:paraId="5E265CF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核密度估计模块</w:t>
      </w:r>
      <w:r>
        <w:rPr>
          <w:rFonts w:ascii="Arial" w:hAnsi="Arial" w:eastAsia="等线" w:cs="Arial"/>
          <w:sz w:val="22"/>
        </w:rPr>
        <w:t>：实现核密度估计的计算。</w:t>
      </w:r>
    </w:p>
    <w:p w14:paraId="4B071993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评估与可视化模块</w:t>
      </w:r>
      <w:r>
        <w:rPr>
          <w:rFonts w:ascii="Arial" w:hAnsi="Arial" w:eastAsia="等线" w:cs="Arial"/>
          <w:sz w:val="22"/>
        </w:rPr>
        <w:t>：实现算法性能的评估和结果的可视化。</w:t>
      </w:r>
    </w:p>
    <w:p w14:paraId="0CAB947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实验脚本开发</w:t>
      </w:r>
      <w:r>
        <w:rPr>
          <w:rFonts w:ascii="Arial" w:hAnsi="Arial" w:eastAsia="等线" w:cs="Arial"/>
          <w:sz w:val="22"/>
        </w:rPr>
        <w:t>：</w:t>
      </w:r>
    </w:p>
    <w:p w14:paraId="6061658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数据加载脚本</w:t>
      </w:r>
      <w:r>
        <w:rPr>
          <w:rFonts w:ascii="Arial" w:hAnsi="Arial" w:eastAsia="等线" w:cs="Arial"/>
          <w:sz w:val="22"/>
        </w:rPr>
        <w:t>：编写用于加载和预处理数据集的脚本。</w:t>
      </w:r>
    </w:p>
    <w:p w14:paraId="3AB0823D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算法实现脚本</w:t>
      </w:r>
      <w:r>
        <w:rPr>
          <w:rFonts w:ascii="Arial" w:hAnsi="Arial" w:eastAsia="等线" w:cs="Arial"/>
          <w:sz w:val="22"/>
        </w:rPr>
        <w:t>：编写实现近似环划分和核密度估计的脚本。</w:t>
      </w:r>
    </w:p>
    <w:p w14:paraId="746634EA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性能评估脚本</w:t>
      </w:r>
      <w:r>
        <w:rPr>
          <w:rFonts w:ascii="Arial" w:hAnsi="Arial" w:eastAsia="等线" w:cs="Arial"/>
          <w:sz w:val="22"/>
        </w:rPr>
        <w:t>：编写用于评估算法性能的脚本，包括计算估计误差和查询时间。</w:t>
      </w:r>
    </w:p>
    <w:p w14:paraId="7E5E6F88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可视化脚本</w:t>
      </w:r>
      <w:r>
        <w:rPr>
          <w:rFonts w:ascii="Arial" w:hAnsi="Arial" w:eastAsia="等线" w:cs="Arial"/>
          <w:sz w:val="22"/>
        </w:rPr>
        <w:t>：编写用于可视化核密度估计结果的脚本。</w:t>
      </w:r>
    </w:p>
    <w:p w14:paraId="45E686AD">
      <w:pPr>
        <w:spacing w:before="120" w:after="120" w:line="288" w:lineRule="auto"/>
        <w:ind w:left="0"/>
        <w:jc w:val="left"/>
      </w:pPr>
    </w:p>
    <w:p w14:paraId="02AF608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266950" cy="5114925"/>
            <wp:effectExtent l="0" t="0" r="1905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7F17">
      <w:pPr>
        <w:spacing w:before="120" w:after="120" w:line="288" w:lineRule="auto"/>
        <w:ind w:left="0"/>
        <w:jc w:val="left"/>
      </w:pPr>
    </w:p>
    <w:p w14:paraId="259B00EF">
      <w:pPr>
        <w:spacing w:before="120" w:after="120" w:line="288" w:lineRule="auto"/>
        <w:ind w:left="0"/>
        <w:jc w:val="left"/>
      </w:pPr>
    </w:p>
    <w:p w14:paraId="1F0C8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实验过程：</w:t>
      </w:r>
    </w:p>
    <w:p w14:paraId="493A656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76675"/>
            <wp:effectExtent l="0" t="0" r="0" b="9525"/>
            <wp:docPr id="4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C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实验一：控制哈希码长度25，哈希表数量[2, 4, 6, 8, 10, 12, 14, 16, 18, 20]</w:t>
      </w:r>
    </w:p>
    <w:p w14:paraId="56E07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CIFAR-10-SMALL</w:t>
      </w:r>
    </w:p>
    <w:p w14:paraId="6841B57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5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157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553075"/>
            <wp:effectExtent l="0" t="0" r="0" b="9525"/>
            <wp:docPr id="6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ISOLET</w:t>
      </w:r>
    </w:p>
    <w:p w14:paraId="4BC7982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305175"/>
            <wp:effectExtent l="0" t="0" r="0" b="22225"/>
            <wp:docPr id="7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8E4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010275"/>
            <wp:effectExtent l="0" t="0" r="0" b="9525"/>
            <wp:docPr id="8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AMAZON</w:t>
      </w:r>
    </w:p>
    <w:p w14:paraId="564777B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57550"/>
            <wp:effectExtent l="0" t="0" r="0" b="19050"/>
            <wp:docPr id="9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129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972175"/>
            <wp:effectExtent l="0" t="0" r="0" b="22225"/>
            <wp:docPr id="10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7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CIFAR10-GIST512</w:t>
      </w:r>
    </w:p>
    <w:p w14:paraId="695CC76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62275"/>
            <wp:effectExtent l="0" t="0" r="0" b="9525"/>
            <wp:docPr id="11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DF30">
      <w:pPr>
        <w:spacing w:before="120" w:after="120" w:line="288" w:lineRule="auto"/>
        <w:ind w:left="0"/>
        <w:jc w:val="left"/>
      </w:pPr>
    </w:p>
    <w:p w14:paraId="05BBDC9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EAE0D"/>
    <w:multiLevelType w:val="singleLevel"/>
    <w:tmpl w:val="8FFEAE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BF2F1DE"/>
    <w:multiLevelType w:val="singleLevel"/>
    <w:tmpl w:val="9BF2F1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A66BB3B9"/>
    <w:multiLevelType w:val="singleLevel"/>
    <w:tmpl w:val="A66BB3B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7FCA907"/>
    <w:multiLevelType w:val="singleLevel"/>
    <w:tmpl w:val="B7FCA9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EED994D"/>
    <w:multiLevelType w:val="singleLevel"/>
    <w:tmpl w:val="BEED99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EFCF5EB"/>
    <w:multiLevelType w:val="singleLevel"/>
    <w:tmpl w:val="BEFCF5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D1E9F0C6"/>
    <w:multiLevelType w:val="singleLevel"/>
    <w:tmpl w:val="D1E9F0C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DFFE2E8B"/>
    <w:multiLevelType w:val="singleLevel"/>
    <w:tmpl w:val="DFFE2E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EFCF71C0"/>
    <w:multiLevelType w:val="singleLevel"/>
    <w:tmpl w:val="EFCF71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4F58764"/>
    <w:multiLevelType w:val="singleLevel"/>
    <w:tmpl w:val="F4F587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FBEFF20E"/>
    <w:multiLevelType w:val="multilevel"/>
    <w:tmpl w:val="FBEFF20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FE5E5327"/>
    <w:multiLevelType w:val="singleLevel"/>
    <w:tmpl w:val="FE5E532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FEB6D1E5"/>
    <w:multiLevelType w:val="singleLevel"/>
    <w:tmpl w:val="FEB6D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FF7EC395"/>
    <w:multiLevelType w:val="singleLevel"/>
    <w:tmpl w:val="FF7EC3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3777142A"/>
    <w:multiLevelType w:val="singleLevel"/>
    <w:tmpl w:val="377714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5FAE431C"/>
    <w:multiLevelType w:val="singleLevel"/>
    <w:tmpl w:val="5FAE43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6DC2F8FD"/>
    <w:multiLevelType w:val="singleLevel"/>
    <w:tmpl w:val="6DC2F8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6EFF3EBE"/>
    <w:multiLevelType w:val="singleLevel"/>
    <w:tmpl w:val="6EFF3EBE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2"/>
  </w:num>
  <w:num w:numId="5">
    <w:abstractNumId w:val="13"/>
  </w:num>
  <w:num w:numId="6">
    <w:abstractNumId w:val="4"/>
  </w:num>
  <w:num w:numId="7">
    <w:abstractNumId w:val="11"/>
  </w:num>
  <w:num w:numId="8">
    <w:abstractNumId w:val="12"/>
  </w:num>
  <w:num w:numId="9">
    <w:abstractNumId w:val="9"/>
  </w:num>
  <w:num w:numId="10">
    <w:abstractNumId w:val="0"/>
  </w:num>
  <w:num w:numId="11">
    <w:abstractNumId w:val="3"/>
  </w:num>
  <w:num w:numId="12">
    <w:abstractNumId w:val="17"/>
  </w:num>
  <w:num w:numId="13">
    <w:abstractNumId w:val="16"/>
  </w:num>
  <w:num w:numId="14">
    <w:abstractNumId w:val="8"/>
  </w:num>
  <w:num w:numId="15">
    <w:abstractNumId w:val="1"/>
  </w:num>
  <w:num w:numId="16">
    <w:abstractNumId w:val="15"/>
  </w:num>
  <w:num w:numId="17">
    <w:abstractNumId w:val="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jJmZGRlNzBlMDc2NzMxOTlhOTc3ZTc1Mzk0M2IifQ=="/>
  </w:docVars>
  <w:rsids>
    <w:rsidRoot w:val="B4DD20A7"/>
    <w:rsid w:val="B4DD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2025-03-11T14:56:00Z</dcterms:created>
  <dc:creator>qiuzhipeng</dc:creator>
  <cp:lastModifiedBy>qiuzhipeng</cp:lastModifiedBy>
  <dcterms:modified xsi:type="dcterms:W3CDTF">2025-03-11T15:04:48Z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AA23FD699E419D50A2DECF674443CA29_41</vt:lpwstr>
  </property>
</Properties>
</file>