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5.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FC0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另一种历史：是包产到户提高了粮食产量吗？从化肥产量、进口量看粮食产量</w:t>
      </w:r>
    </w:p>
    <w:p w14:paraId="328CF9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粮食产量提高真的是因为包产到户吗？笔者之前写过几篇文章做了考证：</w:t>
      </w:r>
    </w:p>
    <w:p w14:paraId="6F149A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"https://mp.weixin.qq.com/s/mOBj2hydecRNdaYk0LM1lg" </w:instrText>
      </w:r>
      <w:r>
        <w:rPr>
          <w:rFonts w:hint="eastAsia"/>
          <w:sz w:val="28"/>
          <w:szCs w:val="28"/>
          <w:lang w:val="en-US" w:eastAsia="zh-CN"/>
        </w:rPr>
        <w:fldChar w:fldCharType="separate"/>
      </w:r>
      <w:r>
        <w:rPr>
          <w:rStyle w:val="4"/>
          <w:rFonts w:hint="eastAsia"/>
          <w:sz w:val="28"/>
          <w:szCs w:val="28"/>
          <w:lang w:val="en-US" w:eastAsia="zh-CN"/>
        </w:rPr>
        <w:t>包产到户真的提高产量了吗？——用数据说话，不能满嘴跑火车</w:t>
      </w:r>
      <w:r>
        <w:rPr>
          <w:rFonts w:hint="eastAsia"/>
          <w:sz w:val="28"/>
          <w:szCs w:val="28"/>
          <w:lang w:val="en-US" w:eastAsia="zh-CN"/>
        </w:rPr>
        <w:fldChar w:fldCharType="end"/>
      </w:r>
    </w:p>
    <w:p w14:paraId="593BBB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fldChar w:fldCharType="begin"/>
      </w:r>
      <w:r>
        <w:rPr>
          <w:rFonts w:hint="eastAsia" w:asciiTheme="minorHAnsi" w:eastAsiaTheme="minorEastAsia"/>
          <w:sz w:val="28"/>
          <w:szCs w:val="28"/>
          <w:lang w:val="en-US" w:eastAsia="zh-CN"/>
        </w:rPr>
        <w:instrText xml:space="preserve"> HYPERLINK "https://mp.weixin.qq.com/s?__biz=MzU1NzcyMjY5Mw==&amp;mid=2247484008&amp;idx=2&amp;sn=73cf55f09b64eaffb5179bef40e73b87&amp;chksm=fc303f42cb47b6548a813f3fe5942a206fac4534466b5236e6962af9be81402069bca797e276&amp;token=333090360&amp;lang=zh_CN" \l "rd" </w:instrText>
      </w:r>
      <w:r>
        <w:rPr>
          <w:rFonts w:hint="eastAsia" w:asciiTheme="minorHAnsi" w:eastAsiaTheme="minorEastAsia"/>
          <w:sz w:val="28"/>
          <w:szCs w:val="28"/>
          <w:lang w:val="en-US" w:eastAsia="zh-CN"/>
        </w:rPr>
        <w:fldChar w:fldCharType="separate"/>
      </w:r>
      <w:r>
        <w:rPr>
          <w:rStyle w:val="5"/>
          <w:rFonts w:hint="eastAsia"/>
          <w:sz w:val="28"/>
          <w:szCs w:val="28"/>
          <w:lang w:val="en-US" w:eastAsia="zh-CN"/>
        </w:rPr>
        <w:t>是改革开放与包产到户解决中国人民不挨饿的吗？</w:t>
      </w:r>
      <w:r>
        <w:rPr>
          <w:rFonts w:hint="eastAsia" w:asciiTheme="minorHAnsi" w:eastAsiaTheme="minorEastAsia"/>
          <w:sz w:val="28"/>
          <w:szCs w:val="28"/>
          <w:lang w:val="en-US" w:eastAsia="zh-CN"/>
        </w:rPr>
        <w:fldChar w:fldCharType="end"/>
      </w:r>
    </w:p>
    <w:p w14:paraId="17184F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fldChar w:fldCharType="begin"/>
      </w:r>
      <w:r>
        <w:rPr>
          <w:rFonts w:hint="eastAsia" w:asciiTheme="minorHAnsi" w:eastAsiaTheme="minorEastAsia"/>
          <w:sz w:val="28"/>
          <w:szCs w:val="28"/>
          <w:lang w:val="en-US" w:eastAsia="zh-CN"/>
        </w:rPr>
        <w:instrText xml:space="preserve"> HYPERLINK "https://mp.weixin.qq.com/s?__biz=MzU1NzcyMjY5Mw==&amp;mid=2247484110&amp;idx=1&amp;sn=31965e7c999573d956f94709b5ff8e52&amp;chksm=fc303fe4cb47b6f29d6d89099d5c825fdf3cebf1c83e15934eeff91044e79eb32cd64a633ac1&amp;token=333090360&amp;lang=zh_CN" \l "rd" </w:instrText>
      </w:r>
      <w:r>
        <w:rPr>
          <w:rFonts w:hint="eastAsia" w:asciiTheme="minorHAnsi" w:eastAsiaTheme="minorEastAsia"/>
          <w:sz w:val="28"/>
          <w:szCs w:val="28"/>
          <w:lang w:val="en-US" w:eastAsia="zh-CN"/>
        </w:rPr>
        <w:fldChar w:fldCharType="separate"/>
      </w:r>
      <w:r>
        <w:rPr>
          <w:rStyle w:val="5"/>
          <w:rFonts w:hint="eastAsia"/>
          <w:sz w:val="28"/>
          <w:szCs w:val="28"/>
          <w:lang w:val="en-US" w:eastAsia="zh-CN"/>
        </w:rPr>
        <w:t>《邓选》学习（二十八）粮食产量是因为包产到户提高的吗</w:t>
      </w:r>
      <w:r>
        <w:rPr>
          <w:rFonts w:hint="eastAsia" w:asciiTheme="minorHAnsi" w:eastAsiaTheme="minorEastAsia"/>
          <w:sz w:val="28"/>
          <w:szCs w:val="28"/>
          <w:lang w:val="en-US" w:eastAsia="zh-CN"/>
        </w:rPr>
        <w:fldChar w:fldCharType="end"/>
      </w:r>
    </w:p>
    <w:p w14:paraId="79374F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"https://mp.weixin.qq.com/s?__biz=MzU1NzcyMjY5Mw==&amp;mid=2247485091&amp;idx=1&amp;sn=086b91c94289089a41c87722fae803b8&amp;chksm=fc303b89cb47b29fc044954e05d8d45a8eb62a858b2063e70260a93e518904ccf63d6490306d&amp;token=333090360&amp;lang=zh_CN" \l "rd" </w:instrText>
      </w:r>
      <w:r>
        <w:rPr>
          <w:rFonts w:hint="default"/>
          <w:sz w:val="28"/>
          <w:szCs w:val="28"/>
          <w:lang w:val="en-US" w:eastAsia="zh-CN"/>
        </w:rPr>
        <w:fldChar w:fldCharType="separate"/>
      </w:r>
      <w:r>
        <w:rPr>
          <w:rStyle w:val="5"/>
          <w:rFonts w:hint="default"/>
          <w:sz w:val="28"/>
          <w:szCs w:val="28"/>
          <w:lang w:val="en-US" w:eastAsia="zh-CN"/>
        </w:rPr>
        <w:t>到底是谁让中国人吃饱饭？（之二）是袁隆平让中国人吃饱饭了吗？</w:t>
      </w:r>
      <w:r>
        <w:rPr>
          <w:rFonts w:hint="default"/>
          <w:sz w:val="28"/>
          <w:szCs w:val="28"/>
          <w:lang w:val="en-US" w:eastAsia="zh-CN"/>
        </w:rPr>
        <w:fldChar w:fldCharType="end"/>
      </w:r>
    </w:p>
    <w:p w14:paraId="772A7E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"https://mp.weixin.qq.com/s?__biz=MzU1NzcyMjY5Mw==&amp;mid=2247485043&amp;idx=1&amp;sn=552993453014306227634740d79a6a32&amp;chksm=fc303b59cb47b24f46658433af9b33067fdd959cf70c76f820349c2218c2a6a488f05de60312&amp;token=333090360&amp;lang=zh_CN" \l "rd" </w:instrText>
      </w:r>
      <w:r>
        <w:rPr>
          <w:rFonts w:hint="default"/>
          <w:sz w:val="28"/>
          <w:szCs w:val="28"/>
          <w:lang w:val="en-US" w:eastAsia="zh-CN"/>
        </w:rPr>
        <w:fldChar w:fldCharType="separate"/>
      </w:r>
      <w:r>
        <w:rPr>
          <w:rStyle w:val="5"/>
          <w:rFonts w:hint="default"/>
          <w:sz w:val="28"/>
          <w:szCs w:val="28"/>
          <w:lang w:val="en-US" w:eastAsia="zh-CN"/>
        </w:rPr>
        <w:t>到底是谁让中国人吃饱饭？——绝不是某一两位科学家（之一） 新中国两次绿色革命</w:t>
      </w:r>
      <w:r>
        <w:rPr>
          <w:rFonts w:hint="default"/>
          <w:sz w:val="28"/>
          <w:szCs w:val="28"/>
          <w:lang w:val="en-US" w:eastAsia="zh-CN"/>
        </w:rPr>
        <w:fldChar w:fldCharType="end"/>
      </w:r>
    </w:p>
    <w:p w14:paraId="4D9CA2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在前述考证中，提到了四三方案起到的巨大作用，本篇系统谈一下新中国前三十年的小化肥厂、四三方案化肥厂，以及进口化肥的作用。</w:t>
      </w:r>
    </w:p>
    <w:p w14:paraId="0E26FE4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1</w:t>
      </w:r>
    </w:p>
    <w:p w14:paraId="0B307E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根据《中国统计年鉴1993》，中国1949-1992年化肥产量如下：</w:t>
      </w:r>
    </w:p>
    <w:p w14:paraId="59D1993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6210935" cy="9745345"/>
            <wp:effectExtent l="0" t="0" r="6985" b="825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6210935" cy="9745345"/>
                    </a:xfrm>
                    <a:prstGeom prst="rect">
                      <a:avLst/>
                    </a:prstGeom>
                    <a:noFill/>
                    <a:ln w="9525">
                      <a:noFill/>
                    </a:ln>
                  </pic:spPr>
                </pic:pic>
              </a:graphicData>
            </a:graphic>
          </wp:inline>
        </w:drawing>
      </w:r>
    </w:p>
    <w:p w14:paraId="1BA3FD7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eastAsiaTheme="minorEastAsia"/>
          <w:sz w:val="28"/>
          <w:szCs w:val="28"/>
          <w:lang w:val="en-US" w:eastAsia="zh-CN"/>
        </w:rPr>
      </w:pPr>
      <w:r>
        <w:rPr>
          <w:rFonts w:hint="eastAsia"/>
          <w:sz w:val="28"/>
          <w:szCs w:val="28"/>
          <w:lang w:val="en-US" w:eastAsia="zh-CN"/>
        </w:rPr>
        <w:t>上图：图1</w:t>
      </w:r>
    </w:p>
    <w:p w14:paraId="18A664A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sz w:val="28"/>
          <w:szCs w:val="28"/>
          <w:lang w:eastAsia="zh-CN"/>
        </w:rPr>
      </w:pPr>
      <w:r>
        <w:rPr>
          <w:rFonts w:hint="eastAsia" w:eastAsiaTheme="minorEastAsia"/>
          <w:sz w:val="28"/>
          <w:szCs w:val="28"/>
          <w:lang w:eastAsia="zh-CN"/>
        </w:rPr>
        <w:drawing>
          <wp:inline distT="0" distB="0" distL="114300" distR="114300">
            <wp:extent cx="5269230" cy="2353310"/>
            <wp:effectExtent l="0" t="0" r="3810" b="8890"/>
            <wp:docPr id="3" name="图片 3" descr="1750490448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50490448262"/>
                    <pic:cNvPicPr>
                      <a:picLocks noChangeAspect="1"/>
                    </pic:cNvPicPr>
                  </pic:nvPicPr>
                  <pic:blipFill>
                    <a:blip r:embed="rId5"/>
                    <a:stretch>
                      <a:fillRect/>
                    </a:stretch>
                  </pic:blipFill>
                  <pic:spPr>
                    <a:xfrm>
                      <a:off x="0" y="0"/>
                      <a:ext cx="5269230" cy="2353310"/>
                    </a:xfrm>
                    <a:prstGeom prst="rect">
                      <a:avLst/>
                    </a:prstGeom>
                  </pic:spPr>
                </pic:pic>
              </a:graphicData>
            </a:graphic>
          </wp:inline>
        </w:drawing>
      </w:r>
    </w:p>
    <w:p w14:paraId="0BCB5EE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eastAsiaTheme="minorEastAsia"/>
          <w:sz w:val="28"/>
          <w:szCs w:val="28"/>
          <w:lang w:val="en-US" w:eastAsia="zh-CN"/>
        </w:rPr>
      </w:pPr>
      <w:r>
        <w:rPr>
          <w:rFonts w:hint="eastAsia" w:eastAsiaTheme="minorEastAsia"/>
          <w:sz w:val="28"/>
          <w:szCs w:val="28"/>
          <w:lang w:eastAsia="zh-CN"/>
        </w:rPr>
        <w:t>上图：图</w:t>
      </w:r>
      <w:r>
        <w:rPr>
          <w:rFonts w:hint="eastAsia"/>
          <w:sz w:val="28"/>
          <w:szCs w:val="28"/>
          <w:lang w:val="en-US" w:eastAsia="zh-CN"/>
        </w:rPr>
        <w:t>2</w:t>
      </w:r>
    </w:p>
    <w:p w14:paraId="3B9F95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根据中华人民共和国对外经济贸易部《对外贸易统计资料汇编1950-1989》，化肥进口数量：</w:t>
      </w:r>
    </w:p>
    <w:p w14:paraId="4F6983B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5266690" cy="7202805"/>
            <wp:effectExtent l="0" t="0" r="6350" b="57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6"/>
                    <a:stretch>
                      <a:fillRect/>
                    </a:stretch>
                  </pic:blipFill>
                  <pic:spPr>
                    <a:xfrm>
                      <a:off x="0" y="0"/>
                      <a:ext cx="5266690" cy="7202805"/>
                    </a:xfrm>
                    <a:prstGeom prst="rect">
                      <a:avLst/>
                    </a:prstGeom>
                    <a:noFill/>
                    <a:ln>
                      <a:noFill/>
                    </a:ln>
                  </pic:spPr>
                </pic:pic>
              </a:graphicData>
            </a:graphic>
          </wp:inline>
        </w:drawing>
      </w:r>
    </w:p>
    <w:p w14:paraId="3CD54A6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lang w:val="en-US" w:eastAsia="zh-CN"/>
        </w:rPr>
      </w:pPr>
      <w:r>
        <w:rPr>
          <w:rFonts w:hint="eastAsia"/>
          <w:lang w:val="en-US" w:eastAsia="zh-CN"/>
        </w:rPr>
        <w:t>上图：图3</w:t>
      </w:r>
    </w:p>
    <w:p w14:paraId="0628365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2</w:t>
      </w:r>
    </w:p>
    <w:p w14:paraId="3ECEA2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关于化肥数量的统计，有几个统计口径要了解，否则会出大错的。</w:t>
      </w:r>
    </w:p>
    <w:p w14:paraId="5C32AF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1、实物量。即产品实际的重量。举例，我们买了一批化肥，放到称上，显示为1吨，这个1吨就是实物量。</w:t>
      </w:r>
    </w:p>
    <w:p w14:paraId="706A73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《对外贸易统计资料汇编1950-1989》中笔者划红色框的“实物量”即是如此。</w:t>
      </w:r>
    </w:p>
    <w:p w14:paraId="77E11E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但是，因为化肥中的有效成份不同，比如合成技术先进的公司的产品，每吨化肥含氮量为40%，合成技术落后的公司的产品每吨化肥含氮量为20%。虽然实物量都是一吨，但效用明显不一样。</w:t>
      </w:r>
    </w:p>
    <w:p w14:paraId="3D5B44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这个道理就跟含金量一样，9K金（含金量75%）、14K金（含金量58.5%）、18K金（含金量75%）、22K金（含金量91.6%）、足金（含金量99%）、千足金（含金量99.9%）、同样的重量，但是含金量不一样。</w:t>
      </w:r>
    </w:p>
    <w:p w14:paraId="2B3281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类似的还有铁矿石，印度的铁矿石品位最高，达到了61.8%，而美国的铁矿石品位最低，仅为33.30%。中国、乌克兰、巴西、澳大利亚和俄罗斯的铁矿石品位分别为34.50%、35.40%、44.10%、48%和56%。澳大利亚的Goldsworthy铁矿石总铁含量为63.2%，而巴西的Itabira铁矿石总铁含量高达68.9%。</w:t>
      </w:r>
    </w:p>
    <w:p w14:paraId="48B705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为了便于统计与对比，不同国家制定了不同的标准。其中最广泛的就是折纯统计法。</w:t>
      </w:r>
    </w:p>
    <w:p w14:paraId="07BC1259">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折纯量。按照有效成份，换算成有效重量。两个技术不同的公司，同样都生产了1吨化肥，A公司化肥含氮量为40%，B公司化肥含氮量为20%，折纯后的折纯量为：A公司0.4吨，B公司0.2吨。</w:t>
      </w:r>
    </w:p>
    <w:p w14:paraId="449CCD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折纯量也称为“按有效成分100%计算”。《中国统计年鉴1993》中，我国1949-1992年化肥产量就是“按有效成分100%计算”，也就是折纯量。</w:t>
      </w:r>
    </w:p>
    <w:p w14:paraId="53FA4B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以1977年为例，中国在该年化肥折纯量（“按有效成分100%计算”）723.8万吨，实物量为3600多万吨。实物量相当于折纯量的5倍。</w:t>
      </w:r>
    </w:p>
    <w:p w14:paraId="4EF82A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被世界各国所普遍推行的方法是折纯法。联合国年鉴、经互会年鉴以及各国所公布的统计年鉴均按这一方法统计。</w:t>
      </w:r>
    </w:p>
    <w:p w14:paraId="76045F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折标准量。折标准量是将实物量按照固定的有效成分折算。举例，以含氮量20%为固定标准，规定1吨含20%氮的化肥为1标准吨。两个技术不同的公司，同样都生产了1吨化肥，A公司化肥含氮量为40%，B公司化肥含氮量为20%，折标准量为：A公司2吨，B公司1吨。</w:t>
      </w:r>
    </w:p>
    <w:p w14:paraId="1473C6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1978年全国供销总社化肥农药供应站137号文的通知，规定化肥的折算标准是：一吨含氮（N）21%的氮肥为一吨“标准氮肥”，一吨含五氧化二磷（P2Os）18%的磷肥为一吨“标准磷肥”；一吨含氧化钾（K₂0）25%的钾肥为一吨“标准钾肥”。依据这一标准就可以折算各类化肥“实物肥（吨）”“标准肥（吨）”的关系。如尿素的含量（N）是46%，那么一吨尿素就等于二吨“标准氮肥”，农民通常讲“双料”与“单料”也就是这个意思；一吨过磷酸钙含五氧化二磷（P2Os）是16~18%，那么一吨过磷酸钙就等于一吨“标准磷肥”。对复合肥的规定是：含氮、磷、钾有效成份总数在60%以上的，一吨复合肥实物等于三吨“标准肥”；含量总数在40~50%的，一吨复合肥实物折二吨“标准肥”；含量总数小于39%的，一吨复合肥专物等于一吨“标准肥”。（摘自1992年《农家科技》）</w:t>
      </w:r>
    </w:p>
    <w:p w14:paraId="081946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《对外贸易统计资料汇编1950-1989》</w:t>
      </w:r>
      <w:r>
        <w:rPr>
          <w:rFonts w:hint="eastAsia"/>
          <w:sz w:val="28"/>
          <w:szCs w:val="28"/>
          <w:lang w:val="en-US" w:eastAsia="zh-CN"/>
        </w:rPr>
        <w:t>中有一栏数据为“折标准量”即是如此。从《对外贸易统计资料汇编1950-1989》中可以看到，“实物量”低于“折标准量</w:t>
      </w:r>
      <w:bookmarkStart w:id="0" w:name="_GoBack"/>
      <w:bookmarkEnd w:id="0"/>
      <w:r>
        <w:rPr>
          <w:rFonts w:hint="eastAsia"/>
          <w:sz w:val="28"/>
          <w:szCs w:val="28"/>
          <w:lang w:val="en-US" w:eastAsia="zh-CN"/>
        </w:rPr>
        <w:t>”，这说明化肥实际有效成分高于标准有效成分。</w:t>
      </w:r>
    </w:p>
    <w:p w14:paraId="4FC69A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以1988、1989年进口化肥为例：</w:t>
      </w:r>
    </w:p>
    <w:p w14:paraId="3A71EDC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19700" cy="1828800"/>
            <wp:effectExtent l="0" t="0" r="7620" b="0"/>
            <wp:docPr id="9" name="图片 9" descr="75a56d8a865c72ee968741b1fe9a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5a56d8a865c72ee968741b1fe9aead"/>
                    <pic:cNvPicPr>
                      <a:picLocks noChangeAspect="1"/>
                    </pic:cNvPicPr>
                  </pic:nvPicPr>
                  <pic:blipFill>
                    <a:blip r:embed="rId7"/>
                    <a:stretch>
                      <a:fillRect/>
                    </a:stretch>
                  </pic:blipFill>
                  <pic:spPr>
                    <a:xfrm>
                      <a:off x="0" y="0"/>
                      <a:ext cx="5219700" cy="1828800"/>
                    </a:xfrm>
                    <a:prstGeom prst="rect">
                      <a:avLst/>
                    </a:prstGeom>
                  </pic:spPr>
                </pic:pic>
              </a:graphicData>
            </a:graphic>
          </wp:inline>
        </w:drawing>
      </w:r>
    </w:p>
    <w:p w14:paraId="62CFC98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上图：图</w:t>
      </w:r>
      <w:r>
        <w:rPr>
          <w:rFonts w:hint="eastAsia"/>
          <w:sz w:val="28"/>
          <w:szCs w:val="28"/>
          <w:lang w:val="en-US" w:eastAsia="zh-CN"/>
        </w:rPr>
        <w:t>4</w:t>
      </w:r>
    </w:p>
    <w:p w14:paraId="42587D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4、还有一种方法是以植物营养元素计。计算基准为N、P、K</w:t>
      </w:r>
    </w:p>
    <w:p w14:paraId="7F9B19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100%，换算公式是：</w:t>
      </w:r>
    </w:p>
    <w:p w14:paraId="4E848C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P=P</w:t>
      </w:r>
      <w:r>
        <w:rPr>
          <w:rFonts w:hint="eastAsia"/>
          <w:sz w:val="28"/>
          <w:szCs w:val="28"/>
          <w:vertAlign w:val="subscript"/>
          <w:lang w:val="en-US" w:eastAsia="zh-CN"/>
        </w:rPr>
        <w:t>2</w:t>
      </w:r>
      <w:r>
        <w:rPr>
          <w:rFonts w:hint="eastAsia"/>
          <w:sz w:val="28"/>
          <w:szCs w:val="28"/>
          <w:lang w:val="en-US" w:eastAsia="zh-CN"/>
        </w:rPr>
        <w:t>O</w:t>
      </w:r>
      <w:r>
        <w:rPr>
          <w:rFonts w:hint="eastAsia"/>
          <w:sz w:val="28"/>
          <w:szCs w:val="28"/>
          <w:vertAlign w:val="subscript"/>
          <w:lang w:val="en-US" w:eastAsia="zh-CN"/>
        </w:rPr>
        <w:t>5</w:t>
      </w:r>
      <w:r>
        <w:rPr>
          <w:rFonts w:hint="eastAsia"/>
          <w:sz w:val="28"/>
          <w:szCs w:val="28"/>
          <w:lang w:val="en-US" w:eastAsia="zh-CN"/>
        </w:rPr>
        <w:t>×0.4364</w:t>
      </w:r>
    </w:p>
    <w:p w14:paraId="4B3524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K=K</w:t>
      </w:r>
      <w:r>
        <w:rPr>
          <w:rFonts w:hint="eastAsia"/>
          <w:sz w:val="28"/>
          <w:szCs w:val="28"/>
          <w:vertAlign w:val="subscript"/>
          <w:lang w:val="en-US" w:eastAsia="zh-CN"/>
        </w:rPr>
        <w:t>2</w:t>
      </w:r>
      <w:r>
        <w:rPr>
          <w:rFonts w:hint="eastAsia"/>
          <w:sz w:val="28"/>
          <w:szCs w:val="28"/>
          <w:lang w:val="en-US" w:eastAsia="zh-CN"/>
        </w:rPr>
        <w:t>O×0.8302</w:t>
      </w:r>
    </w:p>
    <w:p w14:paraId="387C02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如果不能统一口径，在统计时会出现错误。</w:t>
      </w:r>
    </w:p>
    <w:p w14:paraId="56EAFD9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3</w:t>
      </w:r>
    </w:p>
    <w:p w14:paraId="6F2BE7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我们以折纯量为统计口径，看看化肥产量、进口量。</w:t>
      </w:r>
    </w:p>
    <w:p w14:paraId="40B027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w:t>
      </w:r>
      <w:r>
        <w:rPr>
          <w:rFonts w:hint="default"/>
          <w:sz w:val="28"/>
          <w:szCs w:val="28"/>
          <w:lang w:val="en-US" w:eastAsia="zh-CN"/>
        </w:rPr>
        <w:t>《对外贸易统计资料汇编1950-1989》</w:t>
      </w:r>
      <w:r>
        <w:rPr>
          <w:rFonts w:hint="eastAsia"/>
          <w:sz w:val="28"/>
          <w:szCs w:val="28"/>
          <w:lang w:val="en-US" w:eastAsia="zh-CN"/>
        </w:rPr>
        <w:t>中，化肥进口的是实物量，为便于统计，需要将其转换为折纯量。</w:t>
      </w:r>
    </w:p>
    <w:p w14:paraId="671658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笔者检索了很多资料，尚未找到所有年份进口化肥折纯量，只找到了1988、1989、1990三年的折纯量。</w:t>
      </w:r>
    </w:p>
    <w:p w14:paraId="434A92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根据陕西省化肥公司刘守铭发表在《陕西化工》1990年第05期《1988年、1989年我国化肥进口量》、《陕西化工》1991年第6期《1990年中国化肥进口》数据（刘守铭的数据引自《化肥导报》）：</w:t>
      </w:r>
    </w:p>
    <w:p w14:paraId="4BA589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1988年、1989、1990年进口化肥数据如下：</w:t>
      </w:r>
    </w:p>
    <w:p w14:paraId="690D812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19700" cy="2270760"/>
            <wp:effectExtent l="0" t="0" r="7620" b="0"/>
            <wp:docPr id="10" name="图片 10" descr="808dec56db7f2a41dc6dd9b89931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08dec56db7f2a41dc6dd9b89931e8e"/>
                    <pic:cNvPicPr>
                      <a:picLocks noChangeAspect="1"/>
                    </pic:cNvPicPr>
                  </pic:nvPicPr>
                  <pic:blipFill>
                    <a:blip r:embed="rId8"/>
                    <a:stretch>
                      <a:fillRect/>
                    </a:stretch>
                  </pic:blipFill>
                  <pic:spPr>
                    <a:xfrm>
                      <a:off x="0" y="0"/>
                      <a:ext cx="5219700" cy="2270760"/>
                    </a:xfrm>
                    <a:prstGeom prst="rect">
                      <a:avLst/>
                    </a:prstGeom>
                  </pic:spPr>
                </pic:pic>
              </a:graphicData>
            </a:graphic>
          </wp:inline>
        </w:drawing>
      </w:r>
    </w:p>
    <w:p w14:paraId="3699F43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上图：图</w:t>
      </w:r>
      <w:r>
        <w:rPr>
          <w:rFonts w:hint="eastAsia"/>
          <w:sz w:val="28"/>
          <w:szCs w:val="28"/>
          <w:lang w:val="en-US" w:eastAsia="zh-CN"/>
        </w:rPr>
        <w:t>5</w:t>
      </w:r>
    </w:p>
    <w:p w14:paraId="104CFE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根据上述数据，我们计算一下折纯率：折纯量÷实物量</w:t>
      </w:r>
    </w:p>
    <w:p w14:paraId="3BF63D1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1135" cy="1939290"/>
            <wp:effectExtent l="0" t="0" r="1905" b="11430"/>
            <wp:docPr id="11" name="图片 11" descr="023b464b058ed661869634e1773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23b464b058ed661869634e17739042"/>
                    <pic:cNvPicPr>
                      <a:picLocks noChangeAspect="1"/>
                    </pic:cNvPicPr>
                  </pic:nvPicPr>
                  <pic:blipFill>
                    <a:blip r:embed="rId9"/>
                    <a:stretch>
                      <a:fillRect/>
                    </a:stretch>
                  </pic:blipFill>
                  <pic:spPr>
                    <a:xfrm>
                      <a:off x="0" y="0"/>
                      <a:ext cx="5271135" cy="1939290"/>
                    </a:xfrm>
                    <a:prstGeom prst="rect">
                      <a:avLst/>
                    </a:prstGeom>
                  </pic:spPr>
                </pic:pic>
              </a:graphicData>
            </a:graphic>
          </wp:inline>
        </w:drawing>
      </w:r>
    </w:p>
    <w:p w14:paraId="52291DD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上图：图</w:t>
      </w:r>
      <w:r>
        <w:rPr>
          <w:rFonts w:hint="eastAsia"/>
          <w:sz w:val="28"/>
          <w:szCs w:val="28"/>
          <w:lang w:val="en-US" w:eastAsia="zh-CN"/>
        </w:rPr>
        <w:t>6</w:t>
      </w:r>
    </w:p>
    <w:p w14:paraId="5745DE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可以看到，折纯率在50%以上，我们以此作为历年进口折纯率，根据《中国统计年鉴1993》、《对外贸易统计资料汇编1950-1989》，化肥生产量、进口量整理如下：</w:t>
      </w:r>
    </w:p>
    <w:p w14:paraId="0406AD1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3394075" cy="9244330"/>
            <wp:effectExtent l="0" t="0" r="4445" b="6350"/>
            <wp:docPr id="12" name="图片 12" descr="11b1342aaff6e3f44594eb69a825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1b1342aaff6e3f44594eb69a8258c7"/>
                    <pic:cNvPicPr>
                      <a:picLocks noChangeAspect="1"/>
                    </pic:cNvPicPr>
                  </pic:nvPicPr>
                  <pic:blipFill>
                    <a:blip r:embed="rId10"/>
                    <a:stretch>
                      <a:fillRect/>
                    </a:stretch>
                  </pic:blipFill>
                  <pic:spPr>
                    <a:xfrm>
                      <a:off x="0" y="0"/>
                      <a:ext cx="3394075" cy="9244330"/>
                    </a:xfrm>
                    <a:prstGeom prst="rect">
                      <a:avLst/>
                    </a:prstGeom>
                  </pic:spPr>
                </pic:pic>
              </a:graphicData>
            </a:graphic>
          </wp:inline>
        </w:drawing>
      </w:r>
    </w:p>
    <w:p w14:paraId="3E37953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上图：图7</w:t>
      </w:r>
    </w:p>
    <w:p w14:paraId="73A88C3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082540" cy="3398520"/>
            <wp:effectExtent l="0" t="0" r="7620" b="0"/>
            <wp:docPr id="13" name="图片 13" descr="80a9306b44eb1fdc0b4f55e4e29d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0a9306b44eb1fdc0b4f55e4e29d99e"/>
                    <pic:cNvPicPr>
                      <a:picLocks noChangeAspect="1"/>
                    </pic:cNvPicPr>
                  </pic:nvPicPr>
                  <pic:blipFill>
                    <a:blip r:embed="rId11"/>
                    <a:stretch>
                      <a:fillRect/>
                    </a:stretch>
                  </pic:blipFill>
                  <pic:spPr>
                    <a:xfrm>
                      <a:off x="0" y="0"/>
                      <a:ext cx="5082540" cy="3398520"/>
                    </a:xfrm>
                    <a:prstGeom prst="rect">
                      <a:avLst/>
                    </a:prstGeom>
                  </pic:spPr>
                </pic:pic>
              </a:graphicData>
            </a:graphic>
          </wp:inline>
        </w:drawing>
      </w:r>
    </w:p>
    <w:p w14:paraId="77F41C3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上图：图8</w:t>
      </w:r>
    </w:p>
    <w:p w14:paraId="56D326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可以看到，因为新中国前三十年小化肥厂在六七十年代的大量建设，进口化肥在1972年达到高峰后，从1973年开始回落，1976年下降到136.56万吨（折纯）。</w:t>
      </w:r>
    </w:p>
    <w:p w14:paraId="12C949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从1977年开始，进口化肥增加，总体呈上升趋势（1985、1986两年下降）。</w:t>
      </w:r>
    </w:p>
    <w:p w14:paraId="255EC6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从1977年开始，国产化肥产量急剧增长，主要原因有两个，一个是新中国自主建设的小化肥厂大量建设，另一个原因是毛主席、周总理批准的四三方案的化工厂陆续投产。</w:t>
      </w:r>
    </w:p>
    <w:p w14:paraId="530738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根据“四三方案”的亲历者、报告起草者之一陈锦华的《国事忆述》记载“四三方案”引进的26个项目情况，笔者整理如下：</w:t>
      </w:r>
    </w:p>
    <w:p w14:paraId="26620BED">
      <w:pPr>
        <w:widowControl/>
        <w:jc w:val="center"/>
        <w:rPr>
          <w:rFonts w:ascii="Calibri" w:hAnsi="Calibri" w:eastAsia="宋体" w:cs="Times New Roman"/>
        </w:rPr>
      </w:pPr>
      <w:r>
        <w:rPr>
          <w:rFonts w:ascii="宋体" w:hAnsi="宋体" w:eastAsia="宋体" w:cs="宋体"/>
          <w:kern w:val="0"/>
          <w:sz w:val="24"/>
        </w:rPr>
        <w:drawing>
          <wp:inline distT="0" distB="0" distL="114300" distR="114300">
            <wp:extent cx="5324475" cy="9075420"/>
            <wp:effectExtent l="0" t="0" r="9525" b="7620"/>
            <wp:docPr id="2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IMG_256"/>
                    <pic:cNvPicPr>
                      <a:picLocks noChangeAspect="1"/>
                    </pic:cNvPicPr>
                  </pic:nvPicPr>
                  <pic:blipFill>
                    <a:blip r:embed="rId12" cstate="print"/>
                    <a:stretch>
                      <a:fillRect/>
                    </a:stretch>
                  </pic:blipFill>
                  <pic:spPr>
                    <a:xfrm>
                      <a:off x="0" y="0"/>
                      <a:ext cx="5324475" cy="9075420"/>
                    </a:xfrm>
                    <a:prstGeom prst="rect">
                      <a:avLst/>
                    </a:prstGeom>
                    <a:noFill/>
                    <a:ln w="9525">
                      <a:noFill/>
                    </a:ln>
                  </pic:spPr>
                </pic:pic>
              </a:graphicData>
            </a:graphic>
          </wp:inline>
        </w:drawing>
      </w:r>
    </w:p>
    <w:p w14:paraId="6FB5AC7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上图：图9</w:t>
      </w:r>
    </w:p>
    <w:p w14:paraId="44EF73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尿素折纯率为46%。按照投产时间，整理四三方案每年的产能如下：</w:t>
      </w:r>
    </w:p>
    <w:p w14:paraId="34BDF5E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4310" cy="2713990"/>
            <wp:effectExtent l="0" t="0" r="13970" b="13970"/>
            <wp:docPr id="14" name="图片 14" descr="6e0cd129f7a8d4cc35439bb2642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e0cd129f7a8d4cc35439bb26420030"/>
                    <pic:cNvPicPr>
                      <a:picLocks noChangeAspect="1"/>
                    </pic:cNvPicPr>
                  </pic:nvPicPr>
                  <pic:blipFill>
                    <a:blip r:embed="rId13"/>
                    <a:stretch>
                      <a:fillRect/>
                    </a:stretch>
                  </pic:blipFill>
                  <pic:spPr>
                    <a:xfrm>
                      <a:off x="0" y="0"/>
                      <a:ext cx="5274310" cy="2713990"/>
                    </a:xfrm>
                    <a:prstGeom prst="rect">
                      <a:avLst/>
                    </a:prstGeom>
                  </pic:spPr>
                </pic:pic>
              </a:graphicData>
            </a:graphic>
          </wp:inline>
        </w:drawing>
      </w:r>
    </w:p>
    <w:p w14:paraId="13CCB01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上图：图</w:t>
      </w:r>
      <w:r>
        <w:rPr>
          <w:rFonts w:hint="eastAsia"/>
          <w:sz w:val="28"/>
          <w:szCs w:val="28"/>
          <w:lang w:val="en-US" w:eastAsia="zh-CN"/>
        </w:rPr>
        <w:t>10</w:t>
      </w:r>
    </w:p>
    <w:p w14:paraId="341AA3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根据上述数据进行整理：</w:t>
      </w:r>
    </w:p>
    <w:p w14:paraId="7DEF7CE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3675" cy="3839210"/>
            <wp:effectExtent l="0" t="0" r="14605" b="1270"/>
            <wp:docPr id="15" name="图片 15" descr="288cd86b370341f10a00d875bc21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88cd86b370341f10a00d875bc217a4"/>
                    <pic:cNvPicPr>
                      <a:picLocks noChangeAspect="1"/>
                    </pic:cNvPicPr>
                  </pic:nvPicPr>
                  <pic:blipFill>
                    <a:blip r:embed="rId14"/>
                    <a:stretch>
                      <a:fillRect/>
                    </a:stretch>
                  </pic:blipFill>
                  <pic:spPr>
                    <a:xfrm>
                      <a:off x="0" y="0"/>
                      <a:ext cx="5273675" cy="3839210"/>
                    </a:xfrm>
                    <a:prstGeom prst="rect">
                      <a:avLst/>
                    </a:prstGeom>
                  </pic:spPr>
                </pic:pic>
              </a:graphicData>
            </a:graphic>
          </wp:inline>
        </w:drawing>
      </w:r>
    </w:p>
    <w:p w14:paraId="65AD83C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上图：图1</w:t>
      </w:r>
      <w:r>
        <w:rPr>
          <w:rFonts w:hint="eastAsia"/>
          <w:sz w:val="28"/>
          <w:szCs w:val="28"/>
          <w:lang w:val="en-US" w:eastAsia="zh-CN"/>
        </w:rPr>
        <w:t>1</w:t>
      </w:r>
    </w:p>
    <w:p w14:paraId="64AC40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根据上述数据，我们看看国产化肥、进口化肥占比：</w:t>
      </w:r>
    </w:p>
    <w:p w14:paraId="1676A56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1770" cy="2883535"/>
            <wp:effectExtent l="0" t="0" r="1270" b="12065"/>
            <wp:docPr id="16" name="图片 16" descr="5a295681dcb6280fd8e56bcc588f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a295681dcb6280fd8e56bcc588fcbd"/>
                    <pic:cNvPicPr>
                      <a:picLocks noChangeAspect="1"/>
                    </pic:cNvPicPr>
                  </pic:nvPicPr>
                  <pic:blipFill>
                    <a:blip r:embed="rId15"/>
                    <a:stretch>
                      <a:fillRect/>
                    </a:stretch>
                  </pic:blipFill>
                  <pic:spPr>
                    <a:xfrm>
                      <a:off x="0" y="0"/>
                      <a:ext cx="5271770" cy="2883535"/>
                    </a:xfrm>
                    <a:prstGeom prst="rect">
                      <a:avLst/>
                    </a:prstGeom>
                  </pic:spPr>
                </pic:pic>
              </a:graphicData>
            </a:graphic>
          </wp:inline>
        </w:drawing>
      </w:r>
    </w:p>
    <w:p w14:paraId="66C0E00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上图：图12</w:t>
      </w:r>
    </w:p>
    <w:p w14:paraId="5F1C1C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作图如下：</w:t>
      </w:r>
    </w:p>
    <w:p w14:paraId="159ACEC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067300" cy="3520440"/>
            <wp:effectExtent l="0" t="0" r="7620" b="0"/>
            <wp:docPr id="17" name="图片 17" descr="fb262f49dde7b9293ddbe55dcc46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b262f49dde7b9293ddbe55dcc4690e"/>
                    <pic:cNvPicPr>
                      <a:picLocks noChangeAspect="1"/>
                    </pic:cNvPicPr>
                  </pic:nvPicPr>
                  <pic:blipFill>
                    <a:blip r:embed="rId16"/>
                    <a:stretch>
                      <a:fillRect/>
                    </a:stretch>
                  </pic:blipFill>
                  <pic:spPr>
                    <a:xfrm>
                      <a:off x="0" y="0"/>
                      <a:ext cx="5067300" cy="3520440"/>
                    </a:xfrm>
                    <a:prstGeom prst="rect">
                      <a:avLst/>
                    </a:prstGeom>
                  </pic:spPr>
                </pic:pic>
              </a:graphicData>
            </a:graphic>
          </wp:inline>
        </w:drawing>
      </w:r>
    </w:p>
    <w:p w14:paraId="0E43EA4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上图：图1</w:t>
      </w:r>
      <w:r>
        <w:rPr>
          <w:rFonts w:hint="eastAsia"/>
          <w:sz w:val="28"/>
          <w:szCs w:val="28"/>
          <w:lang w:val="en-US" w:eastAsia="zh-CN"/>
        </w:rPr>
        <w:t>3</w:t>
      </w:r>
    </w:p>
    <w:p w14:paraId="731715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从上图可以看到，新中国自主建设的小化肥厂（橙色）起到了绝对的中流砥柱作用，四三方案（灰色）与进口化肥（蓝色）起到了重要作用。</w:t>
      </w:r>
    </w:p>
    <w:p w14:paraId="77654D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整理1953-1989年国产化肥与进口化肥占比的变化：</w:t>
      </w:r>
    </w:p>
    <w:p w14:paraId="166CE4F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3962400" cy="8858885"/>
            <wp:effectExtent l="0" t="0" r="0" b="10795"/>
            <wp:docPr id="18" name="图片 18" descr="b940205dfe1ae4fe4121d90c104f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940205dfe1ae4fe4121d90c104fa1b"/>
                    <pic:cNvPicPr>
                      <a:picLocks noChangeAspect="1"/>
                    </pic:cNvPicPr>
                  </pic:nvPicPr>
                  <pic:blipFill>
                    <a:blip r:embed="rId17"/>
                    <a:stretch>
                      <a:fillRect/>
                    </a:stretch>
                  </pic:blipFill>
                  <pic:spPr>
                    <a:xfrm>
                      <a:off x="0" y="0"/>
                      <a:ext cx="3962400" cy="8858885"/>
                    </a:xfrm>
                    <a:prstGeom prst="rect">
                      <a:avLst/>
                    </a:prstGeom>
                  </pic:spPr>
                </pic:pic>
              </a:graphicData>
            </a:graphic>
          </wp:inline>
        </w:drawing>
      </w:r>
    </w:p>
    <w:p w14:paraId="012CAC5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上图：图1</w:t>
      </w:r>
      <w:r>
        <w:rPr>
          <w:rFonts w:hint="eastAsia"/>
          <w:sz w:val="28"/>
          <w:szCs w:val="28"/>
          <w:lang w:val="en-US" w:eastAsia="zh-CN"/>
        </w:rPr>
        <w:t>4</w:t>
      </w:r>
    </w:p>
    <w:p w14:paraId="4DEF39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图可以看到，新中国前三十年独立自主的变化，进口化肥占比从1953年的78.18%上升到1956年最高值85.74%。此后，进口化肥比例逐步走低，直到1976年的20.66%、1978年的18.63%，创下了新中国成立以来的最低点，这体现了新中国人民艰苦卓绝而又巨大进步的自力更生。</w:t>
      </w:r>
    </w:p>
    <w:p w14:paraId="555E98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进口化肥在1979年达到新的低点17.98%后，随着改革开放又加大了进口，1988年达到28.66%。</w:t>
      </w:r>
    </w:p>
    <w:p w14:paraId="52F66C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根据《瞭望周刊》（1987年43期28-31页）冯伯华《化肥问题探讨》：</w:t>
      </w:r>
    </w:p>
    <w:p w14:paraId="676305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【从1949年到1986年37年中累计进口化肥4003万吨，其中“文革”之前的18年占11%，“文革”中的10年占30%，“文革”后的9年占59%。】</w:t>
      </w:r>
    </w:p>
    <w:p w14:paraId="42AC06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就是说，新中国1949-1976的27年间，进口化肥为1949-1986年总进口量的41%，文革后的9年间，进口化肥为1949-1986年总进口量的59%。</w:t>
      </w:r>
    </w:p>
    <w:p w14:paraId="7F637D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作图如下，蓝色为国产化肥占比，橙色为进口化肥占比：</w:t>
      </w:r>
    </w:p>
    <w:p w14:paraId="63A4813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059680" cy="3329940"/>
            <wp:effectExtent l="0" t="0" r="0" b="7620"/>
            <wp:docPr id="19" name="图片 19" descr="de15ea2b5af80cc9dc1473e894a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e15ea2b5af80cc9dc1473e894a3172"/>
                    <pic:cNvPicPr>
                      <a:picLocks noChangeAspect="1"/>
                    </pic:cNvPicPr>
                  </pic:nvPicPr>
                  <pic:blipFill>
                    <a:blip r:embed="rId18"/>
                    <a:stretch>
                      <a:fillRect/>
                    </a:stretch>
                  </pic:blipFill>
                  <pic:spPr>
                    <a:xfrm>
                      <a:off x="0" y="0"/>
                      <a:ext cx="5059680" cy="3329940"/>
                    </a:xfrm>
                    <a:prstGeom prst="rect">
                      <a:avLst/>
                    </a:prstGeom>
                  </pic:spPr>
                </pic:pic>
              </a:graphicData>
            </a:graphic>
          </wp:inline>
        </w:drawing>
      </w:r>
    </w:p>
    <w:p w14:paraId="39B4A8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t>上图：图1</w:t>
      </w:r>
      <w:r>
        <w:rPr>
          <w:rFonts w:hint="eastAsia"/>
          <w:sz w:val="28"/>
          <w:szCs w:val="28"/>
          <w:lang w:val="en-US" w:eastAsia="zh-CN"/>
        </w:rPr>
        <w:t>5</w:t>
      </w:r>
    </w:p>
    <w:p w14:paraId="3BE793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根据《瞭望周刊》（1987年43期28-31页）冯伯华《化肥问题探讨》：</w:t>
      </w:r>
    </w:p>
    <w:p w14:paraId="235EFD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国化肥工业是建国以来才得到迅速发展的。1949年只有旧中国留下的大连、南京两个化肥厂，当年生产化肥6000吨。50年代从苏联引进了几个中型化肥厂，之后，在消化引进技术的基础上，我国自行设计和建造了几十座中型化肥厂，还采用我国独创技术，自行设计和建造了1000多座小型化肥厂。......70年代开始又从西方引进了10多座大型化肥厂。随着新厂的投产，我国化肥产量从1956年突破10万吨开始，连续登了几个大台阶，到1979年已经突破1000万吨，1984年达到1460万吨。</w:t>
      </w:r>
    </w:p>
    <w:p w14:paraId="39E0CB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70年代引进的大型化肥广约占现有化肥能力的20%】</w:t>
      </w:r>
    </w:p>
    <w:p w14:paraId="27BF2E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根据四三方案1977-1983年的产能情况，可以看到1984年的1460万吨产量基本上都是新中国前三十年自力更生的化肥厂与四三方案引进的化肥厂的产能。其中四三方案到1983年增加了292.56万吨（折纯）产能。</w:t>
      </w:r>
    </w:p>
    <w:p w14:paraId="55FD94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“70年代引进的大型化肥广约占现有化肥能力的20%”也印证了笔者图10中四三方案产能数据推测的准确性。</w:t>
      </w:r>
    </w:p>
    <w:p w14:paraId="0C853C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笔者之前做的考证《</w:t>
      </w:r>
      <w:r>
        <w:rPr>
          <w:rFonts w:hint="eastAsia" w:asciiTheme="minorHAnsi" w:eastAsiaTheme="minorEastAsia"/>
          <w:sz w:val="28"/>
          <w:szCs w:val="28"/>
          <w:lang w:val="en-US" w:eastAsia="zh-CN"/>
        </w:rPr>
        <w:fldChar w:fldCharType="begin"/>
      </w:r>
      <w:r>
        <w:rPr>
          <w:rFonts w:hint="eastAsia" w:asciiTheme="minorHAnsi" w:eastAsiaTheme="minorEastAsia"/>
          <w:sz w:val="28"/>
          <w:szCs w:val="28"/>
          <w:lang w:val="en-US" w:eastAsia="zh-CN"/>
        </w:rPr>
        <w:instrText xml:space="preserve"> HYPERLINK "https://mp.weixin.qq.com/s/mOBj2hydecRNdaYk0LM1lg" </w:instrText>
      </w:r>
      <w:r>
        <w:rPr>
          <w:rFonts w:hint="eastAsia" w:asciiTheme="minorHAnsi" w:eastAsiaTheme="minorEastAsia"/>
          <w:sz w:val="28"/>
          <w:szCs w:val="28"/>
          <w:lang w:val="en-US" w:eastAsia="zh-CN"/>
        </w:rPr>
        <w:fldChar w:fldCharType="separate"/>
      </w:r>
      <w:r>
        <w:rPr>
          <w:rFonts w:hint="eastAsia"/>
          <w:color w:val="800080"/>
          <w:sz w:val="28"/>
          <w:szCs w:val="28"/>
          <w:u w:val="single"/>
          <w:lang w:val="en-US" w:eastAsia="zh-CN"/>
        </w:rPr>
        <w:t>包产到户真的提高产量了吗？——用数据说话，不能满嘴跑火车</w:t>
      </w:r>
      <w:r>
        <w:rPr>
          <w:rFonts w:hint="eastAsia" w:asciiTheme="minorHAnsi" w:eastAsiaTheme="minorEastAsia"/>
          <w:sz w:val="28"/>
          <w:szCs w:val="28"/>
          <w:lang w:val="en-US" w:eastAsia="zh-CN"/>
        </w:rPr>
        <w:fldChar w:fldCharType="end"/>
      </w:r>
      <w:r>
        <w:rPr>
          <w:rFonts w:hint="eastAsia" w:asciiTheme="minorHAnsi" w:eastAsiaTheme="minorEastAsia"/>
          <w:sz w:val="28"/>
          <w:szCs w:val="28"/>
          <w:lang w:val="en-US" w:eastAsia="zh-CN"/>
        </w:rPr>
        <w:t>》</w:t>
      </w:r>
      <w:r>
        <w:rPr>
          <w:rFonts w:hint="eastAsia"/>
          <w:sz w:val="28"/>
          <w:szCs w:val="28"/>
          <w:lang w:val="en-US" w:eastAsia="zh-CN"/>
        </w:rPr>
        <w:t>，数据引用如下：</w:t>
      </w:r>
    </w:p>
    <w:p w14:paraId="3B0871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根据《安徽省志 粮食志》，安徽省1960-1964年粮食产量如下：</w:t>
      </w:r>
    </w:p>
    <w:p w14:paraId="062ADBF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082540" cy="2926080"/>
            <wp:effectExtent l="0" t="0" r="7620" b="0"/>
            <wp:docPr id="1" name="图片 1" descr="174124356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1243563890"/>
                    <pic:cNvPicPr>
                      <a:picLocks noChangeAspect="1"/>
                    </pic:cNvPicPr>
                  </pic:nvPicPr>
                  <pic:blipFill>
                    <a:blip r:embed="rId19"/>
                    <a:stretch>
                      <a:fillRect/>
                    </a:stretch>
                  </pic:blipFill>
                  <pic:spPr>
                    <a:xfrm>
                      <a:off x="0" y="0"/>
                      <a:ext cx="5082540" cy="2926080"/>
                    </a:xfrm>
                    <a:prstGeom prst="rect">
                      <a:avLst/>
                    </a:prstGeom>
                  </pic:spPr>
                </pic:pic>
              </a:graphicData>
            </a:graphic>
          </wp:inline>
        </w:drawing>
      </w:r>
    </w:p>
    <w:p w14:paraId="05CDBB4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上图：图16</w:t>
      </w:r>
    </w:p>
    <w:p w14:paraId="7E82DE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从中可以看到，包产到户的两年，粮食产量增产速度分别为6.63%与4.03%；而重新回到集体化后的粮食产量增产速度分别为16.4%与19.02%。</w:t>
      </w:r>
    </w:p>
    <w:p w14:paraId="54E649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只要懂一点数学知识的，都能看出来这其中的差距——应该说是巨大的差距——包产到户的粮食增产速度远远小于重新集体化后的粮食增产速度。</w:t>
      </w:r>
    </w:p>
    <w:p w14:paraId="3ABF63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作图更直观（绿色为包产到户粮食产量，红色为集体化粮食产量）：</w:t>
      </w:r>
    </w:p>
    <w:p w14:paraId="6071442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28"/>
          <w:szCs w:val="28"/>
        </w:rPr>
      </w:pPr>
      <w:r>
        <w:rPr>
          <w:rFonts w:hint="eastAsia" w:ascii="微软雅黑" w:hAnsi="微软雅黑" w:eastAsia="微软雅黑" w:cs="微软雅黑"/>
          <w:sz w:val="52"/>
          <w:szCs w:val="52"/>
        </w:rPr>
        <w:drawing>
          <wp:inline distT="0" distB="0" distL="114300" distR="114300">
            <wp:extent cx="5273040" cy="3391535"/>
            <wp:effectExtent l="0" t="0" r="0"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0"/>
                    <a:stretch>
                      <a:fillRect/>
                    </a:stretch>
                  </pic:blipFill>
                  <pic:spPr>
                    <a:xfrm>
                      <a:off x="0" y="0"/>
                      <a:ext cx="5273040" cy="3391535"/>
                    </a:xfrm>
                    <a:prstGeom prst="rect">
                      <a:avLst/>
                    </a:prstGeom>
                    <a:noFill/>
                    <a:ln>
                      <a:noFill/>
                    </a:ln>
                  </pic:spPr>
                </pic:pic>
              </a:graphicData>
            </a:graphic>
          </wp:inline>
        </w:drawing>
      </w:r>
    </w:p>
    <w:p w14:paraId="09F1668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上图：图17</w:t>
      </w:r>
    </w:p>
    <w:p w14:paraId="44C67CA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5128260" cy="3451860"/>
            <wp:effectExtent l="0" t="0" r="7620" b="762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1"/>
                    <a:stretch>
                      <a:fillRect/>
                    </a:stretch>
                  </pic:blipFill>
                  <pic:spPr>
                    <a:xfrm>
                      <a:off x="0" y="0"/>
                      <a:ext cx="5128260" cy="3451860"/>
                    </a:xfrm>
                    <a:prstGeom prst="rect">
                      <a:avLst/>
                    </a:prstGeom>
                    <a:noFill/>
                    <a:ln>
                      <a:noFill/>
                    </a:ln>
                  </pic:spPr>
                </pic:pic>
              </a:graphicData>
            </a:graphic>
          </wp:inline>
        </w:drawing>
      </w:r>
    </w:p>
    <w:p w14:paraId="3C77E50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rPr>
          <w:rFonts w:hint="eastAsia" w:asciiTheme="minorHAnsi" w:eastAsiaTheme="minorEastAsia"/>
          <w:sz w:val="28"/>
          <w:szCs w:val="28"/>
          <w:lang w:val="en-US" w:eastAsia="zh-CN"/>
        </w:rPr>
        <w:t>上图：图1</w:t>
      </w:r>
      <w:r>
        <w:rPr>
          <w:rFonts w:hint="eastAsia"/>
          <w:sz w:val="28"/>
          <w:szCs w:val="28"/>
          <w:lang w:val="en-US" w:eastAsia="zh-CN"/>
        </w:rPr>
        <w:t>8</w:t>
      </w:r>
    </w:p>
    <w:p w14:paraId="0D4451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集体化与包产到户对粮食产量的影响，上图一目了然。</w:t>
      </w:r>
    </w:p>
    <w:p w14:paraId="6471D1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根据邓力群自述《十二个春秋（1975-1987）》：</w:t>
      </w:r>
    </w:p>
    <w:p w14:paraId="202018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【在东北考察期间（1988年——井冈山观心注），我听到一种反映：</w:t>
      </w:r>
      <w:r>
        <w:rPr>
          <w:rFonts w:hint="eastAsia"/>
          <w:b/>
          <w:bCs/>
          <w:color w:val="795D01" w:themeColor="accent3" w:themeShade="80"/>
          <w:sz w:val="28"/>
          <w:szCs w:val="28"/>
          <w:lang w:val="en-US" w:eastAsia="zh-CN"/>
        </w:rPr>
        <w:t>胡耀邦要把国营农场办成家庭农场，</w:t>
      </w:r>
      <w:r>
        <w:rPr>
          <w:rFonts w:hint="eastAsia"/>
          <w:sz w:val="28"/>
          <w:szCs w:val="28"/>
          <w:lang w:val="en-US" w:eastAsia="zh-CN"/>
        </w:rPr>
        <w:t>赵紫阳对此没有制止，反而加以助长，结果损失很大。东北的土地都是成片的平原，是用拖拉机耕种的，</w:t>
      </w:r>
      <w:r>
        <w:rPr>
          <w:rFonts w:hint="eastAsia"/>
          <w:b/>
          <w:bCs/>
          <w:color w:val="795D01" w:themeColor="accent3" w:themeShade="80"/>
          <w:sz w:val="28"/>
          <w:szCs w:val="28"/>
          <w:lang w:val="en-US" w:eastAsia="zh-CN"/>
        </w:rPr>
        <w:t>分给农户之后，</w:t>
      </w:r>
      <w:r>
        <w:rPr>
          <w:rFonts w:hint="eastAsia"/>
          <w:sz w:val="28"/>
          <w:szCs w:val="28"/>
          <w:lang w:val="en-US" w:eastAsia="zh-CN"/>
        </w:rPr>
        <w:t>每家只能分几条垄（一条垄有一公里长），每户分8至10亩土地，也就是七、八条垄。家庭没有拖拉机，就只好用牛耕，这样就不如拖拉机耕得深，耕种也不及时，</w:t>
      </w:r>
      <w:r>
        <w:rPr>
          <w:rFonts w:hint="eastAsia"/>
          <w:b/>
          <w:bCs/>
          <w:color w:val="795D01" w:themeColor="accent3" w:themeShade="80"/>
          <w:sz w:val="28"/>
          <w:szCs w:val="28"/>
          <w:lang w:val="en-US" w:eastAsia="zh-CN"/>
        </w:rPr>
        <w:t>结果就减产了。</w:t>
      </w:r>
      <w:r>
        <w:rPr>
          <w:rFonts w:hint="eastAsia"/>
          <w:sz w:val="28"/>
          <w:szCs w:val="28"/>
          <w:lang w:val="en-US" w:eastAsia="zh-CN"/>
        </w:rPr>
        <w:t>搞农场的同志和地方上的人，都认为这个办法不行，于是开始停止这种做法，并逐渐恢复国营农场。后来，除了搞了雇工经营的国营农场不愿被收回去，其他的都陆陆续续地收回了。这是后来的转变。】</w:t>
      </w:r>
    </w:p>
    <w:p w14:paraId="538E26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化肥手册》是联合国工业发展组织《技术的发展和转让丛书》之一，系由国际肥料中心编写，于1980年7月出版。本手册是一本全面系统地反映当代世界化肥工业先进技术水平的最新资料。（中国对外翻译出版公司1984年8月）</w:t>
      </w:r>
    </w:p>
    <w:p w14:paraId="6D15DE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《化肥手册》中，1972~1976年40个国家的国家化肥使用量和谷物产量间的关系：</w:t>
      </w:r>
    </w:p>
    <w:p w14:paraId="6B8BEE2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6151245" cy="7348220"/>
            <wp:effectExtent l="0" t="0" r="5715" b="12700"/>
            <wp:docPr id="2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descr="IMG_256"/>
                    <pic:cNvPicPr>
                      <a:picLocks noChangeAspect="1"/>
                    </pic:cNvPicPr>
                  </pic:nvPicPr>
                  <pic:blipFill>
                    <a:blip r:embed="rId22"/>
                    <a:stretch>
                      <a:fillRect/>
                    </a:stretch>
                  </pic:blipFill>
                  <pic:spPr>
                    <a:xfrm>
                      <a:off x="0" y="0"/>
                      <a:ext cx="6151245" cy="7348220"/>
                    </a:xfrm>
                    <a:prstGeom prst="rect">
                      <a:avLst/>
                    </a:prstGeom>
                    <a:noFill/>
                    <a:ln w="9525">
                      <a:noFill/>
                    </a:ln>
                  </pic:spPr>
                </pic:pic>
              </a:graphicData>
            </a:graphic>
          </wp:inline>
        </w:drawing>
      </w:r>
    </w:p>
    <w:p w14:paraId="231A48B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上图：图19</w:t>
      </w:r>
    </w:p>
    <w:p w14:paraId="16DB18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很直观地看到化肥与粮食产量的正相关。</w:t>
      </w:r>
    </w:p>
    <w:p w14:paraId="480FB8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w:t>
      </w:r>
      <w:r>
        <w:rPr>
          <w:rFonts w:hint="eastAsia" w:asciiTheme="minorHAnsi" w:eastAsiaTheme="minorEastAsia"/>
          <w:sz w:val="28"/>
          <w:szCs w:val="28"/>
          <w:lang w:val="en-US" w:eastAsia="zh-CN"/>
        </w:rPr>
        <w:fldChar w:fldCharType="begin"/>
      </w:r>
      <w:r>
        <w:rPr>
          <w:rFonts w:hint="eastAsia" w:asciiTheme="minorHAnsi" w:eastAsiaTheme="minorEastAsia"/>
          <w:sz w:val="28"/>
          <w:szCs w:val="28"/>
          <w:lang w:val="en-US" w:eastAsia="zh-CN"/>
        </w:rPr>
        <w:instrText xml:space="preserve"> HYPERLINK "https://mp.weixin.qq.com/s?__biz=MzU1NzcyMjY5Mw==&amp;mid=2247484110&amp;idx=1&amp;sn=31965e7c999573d956f94709b5ff8e52&amp;chksm=fc303fe4cb47b6f29d6d89099d5c825fdf3cebf1c83e15934eeff91044e79eb32cd64a633ac1&amp;token=333090360&amp;lang=zh_CN" \l "rd" </w:instrText>
      </w:r>
      <w:r>
        <w:rPr>
          <w:rFonts w:hint="eastAsia" w:asciiTheme="minorHAnsi" w:eastAsiaTheme="minorEastAsia"/>
          <w:sz w:val="28"/>
          <w:szCs w:val="28"/>
          <w:lang w:val="en-US" w:eastAsia="zh-CN"/>
        </w:rPr>
        <w:fldChar w:fldCharType="separate"/>
      </w:r>
      <w:r>
        <w:rPr>
          <w:rStyle w:val="5"/>
          <w:rFonts w:hint="eastAsia"/>
          <w:sz w:val="28"/>
          <w:szCs w:val="28"/>
          <w:lang w:val="en-US" w:eastAsia="zh-CN"/>
        </w:rPr>
        <w:t>《邓选》学习（二十八）粮食产量是因为包产到户提高的吗</w:t>
      </w:r>
      <w:r>
        <w:rPr>
          <w:rFonts w:hint="eastAsia" w:asciiTheme="minorHAnsi" w:eastAsiaTheme="minorEastAsia"/>
          <w:sz w:val="28"/>
          <w:szCs w:val="28"/>
          <w:lang w:val="en-US" w:eastAsia="zh-CN"/>
        </w:rPr>
        <w:fldChar w:fldCharType="end"/>
      </w:r>
      <w:r>
        <w:rPr>
          <w:rFonts w:hint="eastAsia"/>
          <w:sz w:val="28"/>
          <w:szCs w:val="28"/>
          <w:lang w:val="en-US" w:eastAsia="zh-CN"/>
        </w:rPr>
        <w:t>》也提供了数据：</w:t>
      </w:r>
    </w:p>
    <w:p w14:paraId="6467172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5273675" cy="4075430"/>
            <wp:effectExtent l="0" t="0" r="14605" b="889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3"/>
                    <a:stretch>
                      <a:fillRect/>
                    </a:stretch>
                  </pic:blipFill>
                  <pic:spPr>
                    <a:xfrm>
                      <a:off x="0" y="0"/>
                      <a:ext cx="5273675" cy="4075430"/>
                    </a:xfrm>
                    <a:prstGeom prst="rect">
                      <a:avLst/>
                    </a:prstGeom>
                    <a:noFill/>
                    <a:ln>
                      <a:noFill/>
                    </a:ln>
                  </pic:spPr>
                </pic:pic>
              </a:graphicData>
            </a:graphic>
          </wp:inline>
        </w:drawing>
      </w:r>
    </w:p>
    <w:p w14:paraId="44C0169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eastAsiaTheme="minorEastAsia"/>
          <w:lang w:val="en-US" w:eastAsia="zh-CN"/>
        </w:rPr>
      </w:pPr>
      <w:r>
        <w:rPr>
          <w:rFonts w:hint="eastAsia"/>
          <w:lang w:val="en-US" w:eastAsia="zh-CN"/>
        </w:rPr>
        <w:t>图20（原始数据来源：国家统计局《中国统计年鉴1998》；农业部计划司《中国农村经济统计大全》，井冈山观心制图）</w:t>
      </w:r>
    </w:p>
    <w:p w14:paraId="613C77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上图，1957-1997年粮食产量与化肥用量、万吨粮食化肥用量关联图（蓝色为粮食产量，红色为化肥施用量）</w:t>
      </w:r>
    </w:p>
    <w:p w14:paraId="046E0A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《化肥使用量与粮食产量的相关分析》张桐（作者工作单位：农牧渔业部计划局）：</w:t>
      </w:r>
    </w:p>
    <w:p w14:paraId="5EA0A5DB">
      <w:pPr>
        <w:spacing w:beforeLines="100" w:afterLines="100"/>
        <w:jc w:val="center"/>
        <w:rPr>
          <w:rFonts w:ascii="Times New Roman" w:hAnsi="Times New Roman" w:eastAsia="宋体" w:cs="Times New Roman"/>
          <w:color w:val="000000"/>
          <w:kern w:val="0"/>
          <w:sz w:val="28"/>
          <w:szCs w:val="28"/>
        </w:rPr>
      </w:pPr>
      <w:r>
        <w:rPr>
          <w:rFonts w:ascii="Times New Roman" w:hAnsi="Times New Roman" w:eastAsia="宋体" w:cs="Times New Roman"/>
          <w:color w:val="000000"/>
          <w:kern w:val="0"/>
          <w:sz w:val="28"/>
          <w:szCs w:val="28"/>
        </w:rPr>
        <w:drawing>
          <wp:inline distT="0" distB="0" distL="0" distR="0">
            <wp:extent cx="4762500" cy="3495675"/>
            <wp:effectExtent l="0" t="0" r="762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4" cstate="print"/>
                    <a:srcRect/>
                    <a:stretch>
                      <a:fillRect/>
                    </a:stretch>
                  </pic:blipFill>
                  <pic:spPr>
                    <a:xfrm>
                      <a:off x="0" y="0"/>
                      <a:ext cx="4762500" cy="3495675"/>
                    </a:xfrm>
                    <a:prstGeom prst="rect">
                      <a:avLst/>
                    </a:prstGeom>
                  </pic:spPr>
                </pic:pic>
              </a:graphicData>
            </a:graphic>
          </wp:inline>
        </w:drawing>
      </w:r>
    </w:p>
    <w:p w14:paraId="2D8EB893">
      <w:pPr>
        <w:spacing w:beforeLines="100" w:afterLines="100"/>
        <w:jc w:val="center"/>
        <w:rPr>
          <w:rFonts w:ascii="Times New Roman" w:hAnsi="Times New Roman" w:eastAsia="宋体" w:cs="Times New Roman"/>
          <w:color w:val="000000"/>
          <w:kern w:val="0"/>
          <w:sz w:val="28"/>
          <w:szCs w:val="28"/>
        </w:rPr>
      </w:pPr>
      <w:r>
        <w:rPr>
          <w:rFonts w:hint="eastAsia" w:ascii="Times New Roman" w:hAnsi="Times New Roman" w:eastAsia="宋体" w:cs="Times New Roman"/>
          <w:color w:val="000000"/>
          <w:kern w:val="0"/>
          <w:sz w:val="28"/>
          <w:szCs w:val="28"/>
        </w:rPr>
        <w:t>上图：图2</w:t>
      </w:r>
      <w:r>
        <w:rPr>
          <w:rFonts w:hint="eastAsia" w:ascii="Times New Roman" w:hAnsi="Times New Roman" w:eastAsia="宋体" w:cs="Times New Roman"/>
          <w:color w:val="000000"/>
          <w:kern w:val="0"/>
          <w:sz w:val="28"/>
          <w:szCs w:val="28"/>
          <w:lang w:val="en-US" w:eastAsia="zh-CN"/>
        </w:rPr>
        <w:t>1，1951-1982年我国化肥使用量与粮食产量的关系，来源：</w:t>
      </w:r>
      <w:r>
        <w:rPr>
          <w:rFonts w:ascii="Times New Roman" w:hAnsi="Times New Roman" w:eastAsia="宋体" w:cs="Times New Roman"/>
          <w:color w:val="000000"/>
          <w:kern w:val="0"/>
          <w:sz w:val="28"/>
          <w:szCs w:val="28"/>
        </w:rPr>
        <w:t>农牧渔业部计划局张桐：《化肥使用量与粮食产量的相关分析》</w:t>
      </w:r>
    </w:p>
    <w:p w14:paraId="54684ACF">
      <w:pPr>
        <w:spacing w:beforeLines="100" w:afterLines="100"/>
        <w:jc w:val="both"/>
        <w:rPr>
          <w:rFonts w:hint="default" w:ascii="Times New Roman" w:hAnsi="Times New Roman" w:eastAsia="宋体" w:cs="Times New Roman"/>
          <w:color w:val="000000"/>
          <w:kern w:val="0"/>
          <w:sz w:val="28"/>
          <w:szCs w:val="28"/>
          <w:lang w:val="en-US" w:eastAsia="zh-CN"/>
        </w:rPr>
      </w:pPr>
      <w:r>
        <w:rPr>
          <w:rFonts w:hint="eastAsia" w:ascii="Times New Roman" w:hAnsi="Times New Roman" w:eastAsia="宋体" w:cs="Times New Roman"/>
          <w:color w:val="000000"/>
          <w:kern w:val="0"/>
          <w:sz w:val="28"/>
          <w:szCs w:val="28"/>
          <w:lang w:val="en-US" w:eastAsia="zh-CN"/>
        </w:rPr>
        <w:t>作图更直观：</w:t>
      </w:r>
    </w:p>
    <w:p w14:paraId="2D205951">
      <w:pPr>
        <w:spacing w:beforeLines="100" w:afterLines="100"/>
        <w:jc w:val="center"/>
        <w:rPr>
          <w:rFonts w:hint="eastAsia" w:ascii="Times New Roman" w:hAnsi="Times New Roman" w:eastAsia="宋体" w:cs="Times New Roman"/>
          <w:color w:val="000000"/>
          <w:kern w:val="0"/>
          <w:sz w:val="28"/>
          <w:szCs w:val="28"/>
          <w:lang w:eastAsia="zh-CN"/>
        </w:rPr>
      </w:pPr>
      <w:r>
        <w:rPr>
          <w:rFonts w:hint="eastAsia" w:ascii="Times New Roman" w:hAnsi="Times New Roman" w:eastAsia="宋体" w:cs="Times New Roman"/>
          <w:color w:val="000000"/>
          <w:kern w:val="0"/>
          <w:sz w:val="28"/>
          <w:szCs w:val="28"/>
          <w:lang w:eastAsia="zh-CN"/>
        </w:rPr>
        <w:drawing>
          <wp:inline distT="0" distB="0" distL="114300" distR="114300">
            <wp:extent cx="5090160" cy="3467100"/>
            <wp:effectExtent l="0" t="0" r="0" b="7620"/>
            <wp:docPr id="29" name="图片 29" descr="5c02de11e2763daae3558207edc3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c02de11e2763daae3558207edc3a93"/>
                    <pic:cNvPicPr>
                      <a:picLocks noChangeAspect="1"/>
                    </pic:cNvPicPr>
                  </pic:nvPicPr>
                  <pic:blipFill>
                    <a:blip r:embed="rId25"/>
                    <a:stretch>
                      <a:fillRect/>
                    </a:stretch>
                  </pic:blipFill>
                  <pic:spPr>
                    <a:xfrm>
                      <a:off x="0" y="0"/>
                      <a:ext cx="5090160" cy="3467100"/>
                    </a:xfrm>
                    <a:prstGeom prst="rect">
                      <a:avLst/>
                    </a:prstGeom>
                  </pic:spPr>
                </pic:pic>
              </a:graphicData>
            </a:graphic>
          </wp:inline>
        </w:drawing>
      </w:r>
    </w:p>
    <w:p w14:paraId="10AA0FC4">
      <w:pPr>
        <w:spacing w:beforeLines="100" w:afterLines="100"/>
        <w:jc w:val="center"/>
        <w:rPr>
          <w:rFonts w:hint="default" w:ascii="Times New Roman" w:hAnsi="Times New Roman" w:eastAsia="宋体" w:cs="Times New Roman"/>
          <w:color w:val="000000"/>
          <w:kern w:val="0"/>
          <w:sz w:val="28"/>
          <w:szCs w:val="28"/>
          <w:lang w:val="en-US" w:eastAsia="zh-CN"/>
        </w:rPr>
      </w:pPr>
      <w:r>
        <w:rPr>
          <w:rFonts w:hint="eastAsia" w:ascii="Times New Roman" w:hAnsi="Times New Roman" w:eastAsia="宋体" w:cs="Times New Roman"/>
          <w:color w:val="000000"/>
          <w:kern w:val="0"/>
          <w:sz w:val="28"/>
          <w:szCs w:val="28"/>
          <w:lang w:eastAsia="zh-CN"/>
        </w:rPr>
        <w:t>上图：图2</w:t>
      </w:r>
      <w:r>
        <w:rPr>
          <w:rFonts w:hint="eastAsia" w:ascii="Times New Roman" w:hAnsi="Times New Roman" w:eastAsia="宋体" w:cs="Times New Roman"/>
          <w:color w:val="000000"/>
          <w:kern w:val="0"/>
          <w:sz w:val="28"/>
          <w:szCs w:val="28"/>
          <w:lang w:val="en-US" w:eastAsia="zh-CN"/>
        </w:rPr>
        <w:t>2</w:t>
      </w:r>
    </w:p>
    <w:p w14:paraId="43F320A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4762500" cy="3781425"/>
            <wp:effectExtent l="0" t="0" r="7620" b="133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26" cstate="print"/>
                    <a:srcRect/>
                    <a:stretch>
                      <a:fillRect/>
                    </a:stretch>
                  </pic:blipFill>
                  <pic:spPr>
                    <a:xfrm>
                      <a:off x="0" y="0"/>
                      <a:ext cx="4762500" cy="3781425"/>
                    </a:xfrm>
                    <a:prstGeom prst="rect">
                      <a:avLst/>
                    </a:prstGeom>
                  </pic:spPr>
                </pic:pic>
              </a:graphicData>
            </a:graphic>
          </wp:inline>
        </w:drawing>
      </w:r>
    </w:p>
    <w:p w14:paraId="3FA8263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上图：图23，我国不同地区化肥使用我与粮食产量的关系（1980年）</w:t>
      </w:r>
    </w:p>
    <w:p w14:paraId="57FF8D1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，来源：农牧渔业部计划局张桐：《化肥使用量与粮食产量的相关分析》</w:t>
      </w:r>
    </w:p>
    <w:p w14:paraId="1EC0220A">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作图更直观：</w:t>
      </w:r>
    </w:p>
    <w:p w14:paraId="1FC3CE0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drawing>
          <wp:inline distT="0" distB="0" distL="114300" distR="114300">
            <wp:extent cx="5036820" cy="3497580"/>
            <wp:effectExtent l="0" t="0" r="7620" b="7620"/>
            <wp:docPr id="28" name="图片 28" descr="5aaa73ec54abb038be7bd25d6103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aaa73ec54abb038be7bd25d610365a"/>
                    <pic:cNvPicPr>
                      <a:picLocks noChangeAspect="1"/>
                    </pic:cNvPicPr>
                  </pic:nvPicPr>
                  <pic:blipFill>
                    <a:blip r:embed="rId27"/>
                    <a:stretch>
                      <a:fillRect/>
                    </a:stretch>
                  </pic:blipFill>
                  <pic:spPr>
                    <a:xfrm>
                      <a:off x="0" y="0"/>
                      <a:ext cx="5036820" cy="3497580"/>
                    </a:xfrm>
                    <a:prstGeom prst="rect">
                      <a:avLst/>
                    </a:prstGeom>
                  </pic:spPr>
                </pic:pic>
              </a:graphicData>
            </a:graphic>
          </wp:inline>
        </w:drawing>
      </w:r>
    </w:p>
    <w:p w14:paraId="420FCA1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上图：图24</w:t>
      </w:r>
    </w:p>
    <w:p w14:paraId="0F963E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毛主席1958年总结的农业八字宪法（土、肥、水、种、密、保、管、工）高度概括了粮食产量的因素：</w:t>
      </w:r>
    </w:p>
    <w:p w14:paraId="316774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土——深耕、改良土壤、土壤普查和土地规划</w:t>
      </w:r>
    </w:p>
    <w:p w14:paraId="0BA2B7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肥——合理施肥</w:t>
      </w:r>
    </w:p>
    <w:p w14:paraId="558E72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水——兴修水利和合理用水</w:t>
      </w:r>
    </w:p>
    <w:p w14:paraId="21978E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种——培育和推广良种</w:t>
      </w:r>
    </w:p>
    <w:p w14:paraId="3138A5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密——合理密植</w:t>
      </w:r>
    </w:p>
    <w:p w14:paraId="259070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保——植物保护、防治病虫害</w:t>
      </w:r>
    </w:p>
    <w:p w14:paraId="377DBF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管——田间管理</w:t>
      </w:r>
    </w:p>
    <w:p w14:paraId="0ED80C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工——工具改革</w:t>
      </w:r>
    </w:p>
    <w:p w14:paraId="5D34D8E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4</w:t>
      </w:r>
    </w:p>
    <w:p w14:paraId="076CC6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再谈两个有意思的事。</w:t>
      </w:r>
    </w:p>
    <w:p w14:paraId="249FBC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以前有“要吃粮找紫阳，要吃米找万里”的说法，流传甚广。这个说法一直被当做二人所推行的包产到户所取得的成绩。</w:t>
      </w:r>
    </w:p>
    <w:p w14:paraId="682170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实际情况是什么呢？</w:t>
      </w:r>
    </w:p>
    <w:p w14:paraId="3413FAB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3808730" cy="2532380"/>
            <wp:effectExtent l="0" t="0" r="1270" b="1270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28"/>
                    <a:stretch>
                      <a:fillRect/>
                    </a:stretch>
                  </pic:blipFill>
                  <pic:spPr>
                    <a:xfrm>
                      <a:off x="0" y="0"/>
                      <a:ext cx="3808730" cy="2532380"/>
                    </a:xfrm>
                    <a:prstGeom prst="rect">
                      <a:avLst/>
                    </a:prstGeom>
                    <a:noFill/>
                    <a:ln w="9525">
                      <a:noFill/>
                    </a:ln>
                  </pic:spPr>
                </pic:pic>
              </a:graphicData>
            </a:graphic>
          </wp:inline>
        </w:drawing>
      </w:r>
    </w:p>
    <w:p w14:paraId="0E4EE6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根据邓力群自述《十二个春秋（1975-1987）》：</w:t>
      </w:r>
    </w:p>
    <w:p w14:paraId="513A03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赵紫阳在四川没有搞包产到户，</w:t>
      </w:r>
      <w:r>
        <w:rPr>
          <w:rFonts w:hint="eastAsia"/>
          <w:sz w:val="28"/>
          <w:szCs w:val="28"/>
          <w:lang w:val="en-US" w:eastAsia="zh-CN"/>
        </w:rPr>
        <w:t>他进行的是基本耕作制度方面的改革。针对四川盆地冬暖春早和肥料、水利条件，提出四川的基本耕作制度是稻麦一年两熟制。在丘陵地区，总结推广了南充地区“水路不通走旱路”的办法，等等。</w:t>
      </w:r>
      <w:r>
        <w:rPr>
          <w:rFonts w:hint="eastAsia"/>
          <w:b/>
          <w:bCs/>
          <w:color w:val="795D01" w:themeColor="accent3" w:themeShade="80"/>
          <w:sz w:val="28"/>
          <w:szCs w:val="28"/>
          <w:lang w:val="en-US" w:eastAsia="zh-CN"/>
        </w:rPr>
        <w:t>后来才知道，赵紫阳结合这个改革，动用了库存的粮食。四川原来有不少存粮。</w:t>
      </w:r>
      <w:r>
        <w:rPr>
          <w:rFonts w:hint="eastAsia"/>
          <w:sz w:val="28"/>
          <w:szCs w:val="28"/>
          <w:lang w:val="en-US" w:eastAsia="zh-CN"/>
        </w:rPr>
        <w:t>】</w:t>
      </w:r>
    </w:p>
    <w:p w14:paraId="79A1A4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【万里讲他支持和肯定了凤阳县小岗村为代表的广大农民的尝试和创造。......但是，</w:t>
      </w:r>
      <w:r>
        <w:rPr>
          <w:rFonts w:hint="eastAsia"/>
          <w:b/>
          <w:bCs/>
          <w:color w:val="795D01" w:themeColor="accent3" w:themeShade="80"/>
          <w:sz w:val="28"/>
          <w:szCs w:val="28"/>
          <w:lang w:val="en-US" w:eastAsia="zh-CN"/>
        </w:rPr>
        <w:t>直到他离开安徽，包产到户问题没有提到省委，省委没有做出有关决议或决定。</w:t>
      </w:r>
      <w:r>
        <w:rPr>
          <w:rFonts w:hint="eastAsia"/>
          <w:sz w:val="28"/>
          <w:szCs w:val="28"/>
          <w:lang w:val="en-US" w:eastAsia="zh-CN"/>
        </w:rPr>
        <w:t>在全国率先制定支持联产承包和包产到户的是甘肃省委。】</w:t>
      </w:r>
    </w:p>
    <w:p w14:paraId="5B2EC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包产到户后，没有了集体制，还出现了另一种后果。</w:t>
      </w:r>
    </w:p>
    <w:p w14:paraId="3D4297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邓力群自述《十二个春秋（1975-1987）》记载了作者1988年回故乡桂东县的见闻：</w:t>
      </w:r>
    </w:p>
    <w:p w14:paraId="17BD87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【因为是贫困县，在免除农业税、公粮和购粮方面，每家每户得到了实惠。</w:t>
      </w:r>
      <w:r>
        <w:rPr>
          <w:rFonts w:hint="eastAsia"/>
          <w:b/>
          <w:bCs/>
          <w:sz w:val="28"/>
          <w:szCs w:val="28"/>
          <w:lang w:val="en-US" w:eastAsia="zh-CN"/>
        </w:rPr>
        <w:t>扶贫救济资金每年有一点，但这些款项多数被各级政府用于建公房、私房了。</w:t>
      </w:r>
      <w:r>
        <w:rPr>
          <w:rFonts w:hint="eastAsia"/>
          <w:sz w:val="28"/>
          <w:szCs w:val="28"/>
          <w:lang w:val="en-US" w:eastAsia="zh-CN"/>
        </w:rPr>
        <w:t>我去的时候，桂东县扶贫年份快到期了，县里的领导希望我和省里说一下，再延长几年。湖南省委的负责人熊清泉不错，同意延长扶贫年份，一直延续下来了。</w:t>
      </w:r>
      <w:r>
        <w:rPr>
          <w:rFonts w:hint="eastAsia"/>
          <w:b/>
          <w:bCs/>
          <w:color w:val="795D01" w:themeColor="accent3" w:themeShade="80"/>
          <w:sz w:val="28"/>
          <w:szCs w:val="28"/>
          <w:lang w:val="en-US" w:eastAsia="zh-CN"/>
        </w:rPr>
        <w:t>国家的扶贫政策给地方的好处，各级干部比基层群众要多得多。</w:t>
      </w:r>
      <w:r>
        <w:rPr>
          <w:rFonts w:hint="eastAsia"/>
          <w:sz w:val="28"/>
          <w:szCs w:val="28"/>
          <w:lang w:val="en-US" w:eastAsia="zh-CN"/>
        </w:rPr>
        <w:t>这个问题，恐怕很多贫困县都是如此。......这就使人想到，我们的宪法、党章和文件上写的，以及口头上说的，要求干部要为人民服务，但也有相当数量的干部不能真正贯彻这个宗旨，按文件、条例来办事。</w:t>
      </w:r>
      <w:r>
        <w:rPr>
          <w:rFonts w:hint="eastAsia"/>
          <w:b/>
          <w:bCs/>
          <w:color w:val="795D01" w:themeColor="accent3" w:themeShade="80"/>
          <w:sz w:val="28"/>
          <w:szCs w:val="28"/>
          <w:lang w:val="en-US" w:eastAsia="zh-CN"/>
        </w:rPr>
        <w:t>有了好处干部先得，老百姓得不到多少，只能得点残羹剩饭。</w:t>
      </w:r>
      <w:r>
        <w:rPr>
          <w:rFonts w:hint="eastAsia"/>
          <w:sz w:val="28"/>
          <w:szCs w:val="28"/>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3B600D"/>
    <w:multiLevelType w:val="singleLevel"/>
    <w:tmpl w:val="683B600D"/>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0A54C9"/>
    <w:rsid w:val="129567E6"/>
    <w:rsid w:val="25595F34"/>
    <w:rsid w:val="27E905A8"/>
    <w:rsid w:val="2F67605F"/>
    <w:rsid w:val="38671A18"/>
    <w:rsid w:val="42B83469"/>
    <w:rsid w:val="4FCE41A2"/>
    <w:rsid w:val="582125AF"/>
    <w:rsid w:val="6261671E"/>
    <w:rsid w:val="627B1F67"/>
    <w:rsid w:val="722061F4"/>
    <w:rsid w:val="760A54C9"/>
    <w:rsid w:val="7FEB4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llowedHyperlink"/>
    <w:basedOn w:val="3"/>
    <w:qFormat/>
    <w:uiPriority w:val="0"/>
    <w:rPr>
      <w:color w:val="800080"/>
      <w:u w:val="single"/>
    </w:rPr>
  </w:style>
  <w:style w:type="character" w:styleId="5">
    <w:name w:val="Hyperlink"/>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webp"/><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3823</Words>
  <Characters>4390</Characters>
  <Lines>0</Lines>
  <Paragraphs>0</Paragraphs>
  <TotalTime>134</TotalTime>
  <ScaleCrop>false</ScaleCrop>
  <LinksUpToDate>false</LinksUpToDate>
  <CharactersWithSpaces>4392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2025-06-21T07:13:00Z</dcterms:created>
  <dc:creator>Administrator</dc:creator>
  <cp:lastModifiedBy>Administrator</cp:lastModifiedBy>
  <dcterms:modified xsi:type="dcterms:W3CDTF">2025-06-27T05:46:55Z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2CA0FA974F254781BF13306D3698C245_11</vt:lpwstr>
  </property>
</Properties>
</file>