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48"/>
          <w:szCs w:val="48"/>
          <w:lang w:eastAsia="zh-CN"/>
        </w:rPr>
      </w:pPr>
      <w:r>
        <w:rPr>
          <w:rFonts w:hint="eastAsia"/>
          <w:b/>
          <w:bCs/>
          <w:sz w:val="48"/>
          <w:szCs w:val="48"/>
          <w:lang w:eastAsia="zh-CN"/>
        </w:rPr>
        <w:t>因九云图无法下载文字版，如需转载，请发邮件到jgsgx1966@outlook.com免费获取word版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48"/>
          <w:szCs w:val="48"/>
          <w:lang w:eastAsia="zh-CN"/>
        </w:rPr>
      </w:pPr>
      <w:r>
        <w:rPr>
          <w:rFonts w:hint="eastAsia"/>
          <w:b/>
          <w:bCs/>
          <w:spacing w:val="0"/>
          <w:kern w:val="0"/>
          <w:sz w:val="48"/>
          <w:szCs w:val="48"/>
          <w:fitText w:val="1440" w:id="52048632"/>
          <w:lang w:eastAsia="zh-CN"/>
        </w:rPr>
        <w:t>公众号</w:t>
      </w:r>
      <w:r>
        <w:rPr>
          <w:rFonts w:hint="eastAsia"/>
          <w:b/>
          <w:bCs/>
          <w:sz w:val="48"/>
          <w:szCs w:val="48"/>
          <w:lang w:eastAsia="zh-CN"/>
        </w:rPr>
        <w:t>：井冈山观心1927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48"/>
          <w:szCs w:val="48"/>
          <w:lang w:eastAsia="zh-CN"/>
        </w:rPr>
      </w:pPr>
      <w:r>
        <w:rPr>
          <w:rFonts w:hint="eastAsia"/>
          <w:b/>
          <w:bCs/>
          <w:spacing w:val="240"/>
          <w:kern w:val="0"/>
          <w:sz w:val="48"/>
          <w:szCs w:val="48"/>
          <w:fitText w:val="1440" w:id="1497582387"/>
          <w:lang w:eastAsia="zh-CN"/>
        </w:rPr>
        <w:t>微</w:t>
      </w:r>
      <w:r>
        <w:rPr>
          <w:rFonts w:hint="eastAsia"/>
          <w:b/>
          <w:bCs/>
          <w:spacing w:val="0"/>
          <w:kern w:val="0"/>
          <w:sz w:val="48"/>
          <w:szCs w:val="48"/>
          <w:fitText w:val="1440" w:id="1497582387"/>
          <w:lang w:eastAsia="zh-CN"/>
        </w:rPr>
        <w:t>博</w:t>
      </w:r>
      <w:r>
        <w:rPr>
          <w:rFonts w:hint="eastAsia"/>
          <w:b/>
          <w:bCs/>
          <w:sz w:val="48"/>
          <w:szCs w:val="48"/>
          <w:lang w:eastAsia="zh-CN"/>
        </w:rPr>
        <w:t>：井冈山观心1966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48"/>
          <w:szCs w:val="48"/>
          <w:lang w:eastAsia="zh-CN"/>
        </w:rPr>
      </w:pPr>
      <w:r>
        <w:rPr>
          <w:rFonts w:hint="eastAsia"/>
          <w:b/>
          <w:bCs/>
          <w:spacing w:val="240"/>
          <w:kern w:val="0"/>
          <w:sz w:val="48"/>
          <w:szCs w:val="48"/>
          <w:fitText w:val="1440" w:id="736721794"/>
          <w:lang w:eastAsia="zh-CN"/>
        </w:rPr>
        <w:t>知</w:t>
      </w:r>
      <w:r>
        <w:rPr>
          <w:rFonts w:hint="eastAsia"/>
          <w:b/>
          <w:bCs/>
          <w:spacing w:val="0"/>
          <w:kern w:val="0"/>
          <w:sz w:val="48"/>
          <w:szCs w:val="48"/>
          <w:fitText w:val="1440" w:id="736721794"/>
          <w:lang w:eastAsia="zh-CN"/>
        </w:rPr>
        <w:t>乎</w:t>
      </w:r>
      <w:r>
        <w:rPr>
          <w:rFonts w:hint="eastAsia"/>
          <w:b/>
          <w:bCs/>
          <w:sz w:val="48"/>
          <w:szCs w:val="48"/>
          <w:lang w:eastAsia="zh-CN"/>
        </w:rPr>
        <w:t>：井冈山观心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48"/>
          <w:szCs w:val="48"/>
          <w:lang w:eastAsia="zh-CN"/>
        </w:rPr>
      </w:pPr>
      <w:r>
        <w:rPr>
          <w:rFonts w:hint="eastAsia"/>
          <w:b/>
          <w:bCs/>
          <w:spacing w:val="0"/>
          <w:kern w:val="0"/>
          <w:sz w:val="48"/>
          <w:szCs w:val="48"/>
          <w:fitText w:val="1440" w:id="1198816309"/>
          <w:lang w:eastAsia="zh-CN"/>
        </w:rPr>
        <w:t>小红书</w:t>
      </w:r>
      <w:r>
        <w:rPr>
          <w:rFonts w:hint="eastAsia"/>
          <w:b/>
          <w:bCs/>
          <w:sz w:val="48"/>
          <w:szCs w:val="48"/>
          <w:lang w:eastAsia="zh-CN"/>
        </w:rPr>
        <w:t>：井冈山观心</w:t>
      </w:r>
    </w:p>
    <w:p>
      <w:pPr>
        <w:pBdr>
          <w:bottom w:val="single" w:color="auto" w:sz="4" w:space="0"/>
        </w:pBdr>
        <w:bidi w:val="0"/>
        <w:rPr>
          <w:rFonts w:hint="eastAsia"/>
          <w:b/>
          <w:bCs/>
          <w:sz w:val="48"/>
          <w:szCs w:val="48"/>
          <w:lang w:eastAsia="zh-CN"/>
        </w:rPr>
      </w:pPr>
      <w:r>
        <w:rPr>
          <w:rFonts w:hint="eastAsia"/>
          <w:b/>
          <w:bCs/>
          <w:spacing w:val="26"/>
          <w:kern w:val="0"/>
          <w:sz w:val="48"/>
          <w:szCs w:val="48"/>
          <w:fitText w:val="1440" w:id="1798400558"/>
          <w:lang w:eastAsia="zh-CN"/>
        </w:rPr>
        <w:t>微博</w:t>
      </w:r>
      <w:r>
        <w:rPr>
          <w:rFonts w:hint="eastAsia"/>
          <w:b/>
          <w:bCs/>
          <w:spacing w:val="0"/>
          <w:kern w:val="0"/>
          <w:sz w:val="48"/>
          <w:szCs w:val="48"/>
          <w:fitText w:val="1440" w:id="1798400558"/>
          <w:lang w:eastAsia="zh-CN"/>
        </w:rPr>
        <w:t>2</w:t>
      </w:r>
      <w:r>
        <w:rPr>
          <w:rFonts w:hint="eastAsia"/>
          <w:b/>
          <w:bCs/>
          <w:sz w:val="48"/>
          <w:szCs w:val="48"/>
          <w:lang w:eastAsia="zh-CN"/>
        </w:rPr>
        <w:t>：井冈山观心1976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/>
        <w:jc w:val="center"/>
        <w:textAlignment w:val="auto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eastAsia="zh-CN"/>
        </w:rPr>
        <w:t>《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邓选</w:t>
      </w:r>
      <w:r>
        <w:rPr>
          <w:rFonts w:hint="eastAsia" w:ascii="微软雅黑" w:hAnsi="微软雅黑" w:eastAsia="微软雅黑" w:cs="微软雅黑"/>
          <w:sz w:val="72"/>
          <w:szCs w:val="72"/>
          <w:lang w:eastAsia="zh-CN"/>
        </w:rPr>
        <w:t>》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学习 87 如何对待闹事与学生运动（二）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t>中央文献研究室《邓小平年谱》：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t>（1989年）4月25日 上午，在住地同李鹏、杨尚昆谈话，对中央政治局常委碰头会的决定〔1〕表示完全赞成和支持。指出：这不是一般的学潮，是一场动乱。就是要旗帜鲜明，措施得力，反对和制止这一场动乱。行动要快，要争取时间。</w:t>
      </w:r>
    </w:p>
    <w:p>
      <w:pPr>
        <w:spacing w:before="313" w:beforeLines="100" w:after="313" w:afterLines="100"/>
        <w:rPr>
          <w:rFonts w:hint="eastAsia" w:ascii="微软雅黑" w:hAnsi="微软雅黑" w:eastAsia="微软雅黑" w:cs="微软雅黑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中央文献研究室《邓小平年谱》：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1989年）5月17日</w:t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下午，在住地出席中共中央政治局常委扩大会议。会上多数人认为，当前形势十分严峻，决不能退让，反对赵紫阳主张退让的意见。会议决定对北京部分地区实行戒严。〔1〕邓小平发表讲话，支持多数常委的意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t>注释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〔1〕1989年5月4日，赵紫阳在会见参加亚洲开发银行理事会会议代表时，发表了一篇同中央反对动乱的立场和方针完全不同的谈话。由于赵紫阳对动乱采取纵容和支持的态度，助长了动乱的发展，使本来已经趋于平稳的局势骤然转向激化。从13日起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72"/>
          <w:szCs w:val="72"/>
          <w:lang w:val="en-US" w:eastAsia="zh-CN"/>
        </w:rPr>
        <w:t>数百名学生在天安门广场开始绝食请愿。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15日至19日，北京发生大规模游行活动，出现无政府状态。19日晚，中共中央、国务院召开中央和北京市党政干部大会。赵紫阳拒绝出席大会。李鹏代表中共中央政治局常委讲话，指出：党中央和国务院紧急呼吁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72"/>
          <w:szCs w:val="72"/>
          <w:lang w:val="en-US" w:eastAsia="zh-CN"/>
        </w:rPr>
        <w:t>在天安门广场绝食的学生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立即停止绝食，离开广场；希望广大同学和社会各界立即停止一切游行活动。会上宣布，为维护首都社会治安恢复正常秩序，从外地调动部分部队进驻北京。20日，李鹏签署国务院命令，决定自20日起在北京部分地区实行戒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drawing>
          <wp:inline distT="0" distB="0" distL="114300" distR="114300">
            <wp:extent cx="4419600" cy="2286000"/>
            <wp:effectExtent l="0" t="0" r="0" b="0"/>
            <wp:docPr id="1" name="图片 1" descr="bfff7d990ecdfeb5068e3737c91c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f7d990ecdfeb5068e3737c91ca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图片来源：《邓小平年谱》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《邓选》第三卷《在接见首都戒严部队军以上干部时的讲话》（一九八九年六月九日）：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美国骂我们镇压学生，他们处理国内学潮和骚乱，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72"/>
          <w:szCs w:val="72"/>
          <w:lang w:val="en-US" w:eastAsia="zh-CN"/>
        </w:rPr>
        <w:t>还不是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出动了警察和军队，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72"/>
          <w:szCs w:val="72"/>
          <w:lang w:val="en-US" w:eastAsia="zh-CN"/>
        </w:rPr>
        <w:t>还不是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抓人、流血？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他们是镇压学生和人民，而我们则是平息反革命暴乱。他们有什么资格批评我们！今后，在处理这类问题的时候，倒是要注意，一个动态出现，不要使它蔓延。</w:t>
      </w:r>
    </w:p>
    <w:p>
      <w:pPr>
        <w:spacing w:before="313" w:beforeLines="100" w:after="313" w:afterLines="100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鲁迅《记念刘和珍君》：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但我对于这些传说，竟至于颇为怀疑。我向来是不惮以最坏的恶意，来推测中国人的，然而我还不料，也不信竟会下劣凶残到这地步。况且始终微笑着的和蔼的刘和珍君，更何至于无端在府门前喋血呢？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然而即日证明是事实了，作证的便是她自己的尸骸。还有一具，是杨德群君的。而且又证明着这不但是杀害，简直是虐杀，因为身体上还有棍棒的伤痕。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72"/>
          <w:szCs w:val="72"/>
          <w:lang w:val="en-US" w:eastAsia="zh-CN"/>
        </w:rPr>
        <w:t>但段政府就有令，说她们是“暴徒”！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但接着就有流言，说她们是受人利用的。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惨象，已使我目不忍视了；流言，尤使我耳不忍闻。我还有什么话可说呢？我懂得衰亡民族之所以默无声息的缘由了。沉默呵，沉默呵！不在沉默中爆发，就在沉默中灭亡。</w:t>
      </w:r>
    </w:p>
    <w:p>
      <w:pPr>
        <w:spacing w:before="313" w:beforeLines="100" w:after="313" w:afterLines="1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中央文献研究室《毛泽东传》：</w:t>
      </w:r>
    </w:p>
    <w:p>
      <w:pPr>
        <w:spacing w:before="313" w:beforeLines="100" w:after="313" w:afterLines="100"/>
        <w:ind w:left="840" w:leftChars="400" w:right="840" w:rightChars="400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（毛主席讲话：）要是搞得一点民主也没有，官僚主义十足，大民主不许可，小民主也没有，甚至于小小民主都没有，横直是不能解决问题，那就要逼上梁山。我看在那种情况下，罢工、罢课是一种解决问题的手段，是调节社会生活的一种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中央文献研究室《毛泽东年谱》：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（九）如何处理罢工、罢课、游行示威、请愿。毛泽东说：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这些闹事，不能说主要是因为反革命，而主要是因为我们工作中的缺点，我们不会教育，不会领导。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说人民内部经常不断地发生矛盾，罢工、罢课，农民打扁担，去年有，今年还会有，以前几年就有，不能都归咎于匈牙利事件。关于这个问题，我搞了四条办法。第一，克服官僚主义，适当地处理矛盾，使其不闹。第二，官僚主义没有克服，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要闹就让他闹，因为你没有解决问题。第三，要闹就让他闹够。应该把工人罢工，学生罢课，农民打扁担，看作是我们改善工作，教育工人、农民、学生的一个过程。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第四，除个别人以外，一般不要开除。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中央文献研究室《毛泽东年谱》：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（1966年8月21日）经毛泽东批准，中国人民解放军总参谋部、总政治部发出关于绝对不许动用部队武装镇压革命学生运动的规定。8月22日，中共中央转发公安部关于严禁出动警察镇压革命学生运动的规定。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中央文献研究室《毛泽东年谱》：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（1968年）5月11日晚上，在人民大会堂一一八厅召集林彪、周恩来、陈伯达、康生、谢富治等开会。毛泽东说：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......对广大人民群众是保护还是镇压，是共产党同国民党的根本区别，是无产阶级同资产阶级的根本区别，是无产阶级专政同资产阶级专政的根本区别。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中央文献研究室《毛泽东传》：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毛主席讲话：）对人民闹事，要采取完全新的方法。对犯了法的人，应该按照法律程序处理。其他的人，应该说服教育，不要开除。你这里开除，是以邻为壑。许多同志对于人民跟我们闹事没有精神准备。因为过去我们跟人民一道反对敌人，现在敌人不在了，看不见敌人了，就剩下我们跟人民，他有事情，不向你闹，向谁去闹呢？对于人民闹事，有主张用老办法对付的，就有几个地方叫警察抓人。我说，学生罢课叫警察抓人，这是国民党的办法。也有束手无策的，完全是没有办法。不怕帝国主义，不怕蒋介石，就是怕老百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0240" cy="35814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00172A27"/>
    <w:rsid w:val="068B5CE8"/>
    <w:rsid w:val="199347F1"/>
    <w:rsid w:val="24504619"/>
    <w:rsid w:val="25E35C0C"/>
    <w:rsid w:val="31B71C30"/>
    <w:rsid w:val="34655258"/>
    <w:rsid w:val="45917B80"/>
    <w:rsid w:val="5340513A"/>
    <w:rsid w:val="5A3F7C21"/>
    <w:rsid w:val="5C7C7342"/>
    <w:rsid w:val="6FBC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668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2024-09-09T06:00:00Z</dcterms:created>
  <dc:creator>Administrator</dc:creator>
  <cp:lastModifiedBy>Administrator</cp:lastModifiedBy>
  <dcterms:modified xsi:type="dcterms:W3CDTF">2024-09-10T12:41:31Z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700F0EF09DDA4C63A1470E6D2197227B_13</vt:lpwstr>
  </property>
</Properties>
</file>