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2"/>
        <w:bidi w:val="0"/>
        <w:rPr>
          <w:rFonts w:hint="eastAsia"/>
          <w:sz w:val="64"/>
          <w:szCs w:val="64"/>
          <w:lang w:val="en-US" w:eastAsia="zh-CN"/>
        </w:rPr>
      </w:pPr>
      <w:r>
        <w:rPr>
          <w:rFonts w:hint="eastAsia"/>
          <w:spacing w:val="440"/>
          <w:kern w:val="0"/>
          <w:sz w:val="64"/>
          <w:szCs w:val="64"/>
          <w:fitText w:val="2160" w:id="371942162"/>
          <w:lang w:val="en-US" w:eastAsia="zh-CN"/>
        </w:rPr>
        <w:t>微</w:t>
      </w:r>
      <w:r>
        <w:rPr>
          <w:rFonts w:hint="eastAsia"/>
          <w:spacing w:val="0"/>
          <w:kern w:val="0"/>
          <w:sz w:val="64"/>
          <w:szCs w:val="64"/>
          <w:fitText w:val="2160" w:id="371942162"/>
          <w:lang w:val="en-US" w:eastAsia="zh-CN"/>
        </w:rPr>
        <w:t>博</w:t>
      </w:r>
      <w:r>
        <w:rPr>
          <w:rFonts w:hint="eastAsia"/>
          <w:sz w:val="64"/>
          <w:szCs w:val="64"/>
          <w:lang w:val="en-US" w:eastAsia="zh-CN"/>
        </w:rPr>
        <w:t>：井冈山观心1949</w:t>
      </w:r>
    </w:p>
    <w:p>
      <w:pPr>
        <w:pStyle w:val="2"/>
        <w:pBdr>
          <w:bottom w:val="single" w:color="auto" w:sz="4" w:space="0"/>
        </w:pBdr>
        <w:bidi w:val="0"/>
        <w:rPr>
          <w:rFonts w:hint="default"/>
          <w:lang w:val="en-US" w:eastAsia="zh-CN"/>
        </w:rPr>
      </w:pPr>
      <w:r>
        <w:rPr>
          <w:rFonts w:hint="eastAsia"/>
          <w:spacing w:val="60"/>
          <w:kern w:val="0"/>
          <w:sz w:val="64"/>
          <w:szCs w:val="64"/>
          <w:fitText w:val="2160" w:id="839713500"/>
          <w:lang w:val="en-US" w:eastAsia="zh-CN"/>
        </w:rPr>
        <w:t>公众</w:t>
      </w:r>
      <w:r>
        <w:rPr>
          <w:rFonts w:hint="eastAsia"/>
          <w:spacing w:val="0"/>
          <w:kern w:val="0"/>
          <w:sz w:val="64"/>
          <w:szCs w:val="64"/>
          <w:fitText w:val="2160" w:id="839713500"/>
          <w:lang w:val="en-US" w:eastAsia="zh-CN"/>
        </w:rPr>
        <w:t>号</w:t>
      </w:r>
      <w:r>
        <w:rPr>
          <w:rFonts w:hint="eastAsia"/>
          <w:sz w:val="64"/>
          <w:szCs w:val="64"/>
          <w:lang w:val="en-US" w:eastAsia="zh-CN"/>
        </w:rPr>
        <w:t>：井冈山观心1927</w:t>
      </w:r>
    </w:p>
    <w:p>
      <w:pPr>
        <w:pStyle w:val="2"/>
        <w:bidi w:val="0"/>
        <w:rPr>
          <w:rFonts w:hint="eastAsia"/>
          <w:sz w:val="72"/>
          <w:szCs w:val="72"/>
          <w:lang w:val="en-US" w:eastAsia="zh-CN"/>
        </w:rPr>
      </w:pPr>
      <w:r>
        <w:rPr>
          <w:rFonts w:hint="eastAsia"/>
          <w:sz w:val="72"/>
          <w:szCs w:val="72"/>
          <w:lang w:val="en-US" w:eastAsia="zh-CN"/>
        </w:rPr>
        <w:t>《邓选》学习（67）批林批孔，目的是批周吗？</w:t>
      </w:r>
      <w:bookmarkStart w:id="0" w:name="_GoBack"/>
      <w:bookmarkEnd w:id="0"/>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《邓选》第二卷《在全军政治工作会议上的讲话》（一九七八年六月二日）：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要把“四人帮”揭深批透，非联系揭批林彪不可。林彪、“四人帮”早就勾结在一起，阴谋篡党夺权。林彪对军队毒害很大，过去没有怎么批，被“四人帮”包下来了。他们不批林，假批孔，把矛头指向周恩来同志、叶剑英同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《人民日报》1979年2月10日第1版《王震同志接见云南知识青年代表 勉励青年以国家民族利益为重立志建设边疆》：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王震同志首先表达了党中央和国务院领导同志对广大农村知识青年的关切。他说：在文化大革命中，林彪、“四人帮”篡党夺权，打倒一切，整我们这些跟随毛主席南征北战多少年的老同志和各级领导干部，我也被游了街，程子华同志也靠边站多年。我们的叶剑英同志，八十多岁了，老人家也受了苦。邓小平同志也一再被他们诬陷。什么“二月逆流”，什么“批林批孔批周公”，就是批我们敬爱的周恩来同志。他们要把老干部都打倒。搞了这么十几年，你们本来应当好好上学的，也给耽误了。你们也是受害者。现在要大治了，我们再也不能允许那种动荡不定的无政府状况出现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笔者以“批周公”为关键词检索了中央文献研究室版《毛泽东年谱》、《毛泽东传》、《周恩来年谱》、《周恩来传》，均未检索到任何结果。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笔者以“批周公”为关键字检索了《人民日报》数据库，在1966-1976的十年间，均未检索到任何结果。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根据东方直心老师所著《毛泽东大传》：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还有人在毛泽东身后说，江青在批林批孔中借批“周公”反对周恩来。据《戚本禹回忆录》说：“在当时中央高层的领导中，也只有总理是大力支持江青的，江青怎么可能去反对总理呢？至于我被审查以后的情况，我就不知道了。但是我出狱后曾托人去问了毛远新，那个江青批‘周公’是怎么回事？毛远新说，他可以负责任地说，江青从来没有反过总理，也没有说过批‘周公’是批总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据《戚本禹回忆录》：</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周总理和江青，他们两个之间有很深的友谊。在一起开会的时候，他们两人在大问题上意见基本都是一致的，至少有百分之八十以上的意见都是一致的。有时也有意见分歧，比如那时有“临时工”、“外包工”起来造反，这些人的生活处境困雏，而且也确实因为政策上的原因，造成了对他们的待遇不公平。江青听了他们的诉说，看了他们的材料，难过得哭了。江青有个优点，她对普通的工农群众都很爱护，对他们很有感情。她就跟总理说，他们也是工人阶级的一部分，为什么不能公平对待他们？总理说，国家财政实在有困难，他一一列举国家财政用度上的缺口，说暂时实在是拿不出钱来解决这些问题。江青听了也没有办法。总理和江青的关系有点像是兄妹一样。江青经常会给总理说好话，要总理帮她出主意解决些生活上的小事，总理也很愿意给她出些主意。绝不是像有些人讲的，什么总理经常被她弄得哭笑不得。那都是别有用心的胡说。江青经常跟我说，你跟他们（指王、关等人）讲啊，不准反总理，这是大局。总理也是毛主席的亲密战友呀！我就把江青的话去跟王力、关锋说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w:t>
      </w:r>
      <w:r>
        <w:rPr>
          <w:rFonts w:hint="eastAsia" w:ascii="宋体" w:hAnsi="宋体" w:eastAsia="宋体" w:cs="宋体"/>
          <w:b/>
          <w:bCs/>
          <w:color w:val="851321" w:themeColor="accent6" w:themeShade="80"/>
          <w:kern w:val="0"/>
          <w:sz w:val="60"/>
          <w:szCs w:val="60"/>
          <w:lang w:val="en-US" w:eastAsia="zh-CN" w:bidi="ar"/>
        </w:rPr>
        <w:t>审判江青的时候，他们派人到秦城监狱来向我问过这事，要我回答江青怎么利用这事来反总理。我对他们说，胡说八道，江青当时就说这是敌人造谣。</w:t>
      </w:r>
      <w:r>
        <w:rPr>
          <w:rFonts w:hint="eastAsia" w:ascii="宋体" w:hAnsi="宋体" w:eastAsia="宋体" w:cs="宋体"/>
          <w:color w:val="000000"/>
          <w:kern w:val="0"/>
          <w:sz w:val="60"/>
          <w:szCs w:val="60"/>
          <w:lang w:val="en-US" w:eastAsia="zh-CN" w:bidi="ar"/>
        </w:rPr>
        <w:t>后来她汇报给主席，主席也在会上讲了，那是敌人造谣。那些人还要我详细的写了一个材料说明经过，我都如实地写了。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drawing>
          <wp:inline distT="0" distB="0" distL="114300" distR="114300">
            <wp:extent cx="3398520" cy="2659380"/>
            <wp:effectExtent l="0" t="0" r="0" b="7620"/>
            <wp:docPr id="1" name="图片 1" descr="周总理江青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周总理江青合影"/>
                    <pic:cNvPicPr>
                      <a:picLocks noChangeAspect="1"/>
                    </pic:cNvPicPr>
                  </pic:nvPicPr>
                  <pic:blipFill>
                    <a:blip r:embed="rId4"/>
                    <a:stretch>
                      <a:fillRect/>
                    </a:stretch>
                  </pic:blipFill>
                  <pic:spPr>
                    <a:xfrm>
                      <a:off x="0" y="0"/>
                      <a:ext cx="3398520" cy="265938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1972年3月周总理（前排左二）在钓鱼台10号楼前与江青身边工作人员的合影。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另据毛远新回忆：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毛远新忆毛主席谈批孔</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毛远新2019-05-22来源:昆仑策网</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主席提出批孔，是针对党内及社会上的某种思潮，是站在历史的高度，是基于对党和国家前途命运更深层次的思考，或者说是某种更深层次的忧虑。</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【敬告读者】《毛远新忆毛主席谈批孔》的文章，网上有多种版本，错讹较多，本公号现刊发经过毛远新本人于2011年5月最后修订的版本，并附有毛远新为此次修订所写的说明及注释。——编者</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毛远新2011年5月写的说明</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原文我始见于【强国网心声论坛2010-1-27.原文署名：ceshi123】。看来是某次朋友聚会后，好心者没有跟我商量核对，单凭个人记忆和理解整理出来文章，又未经我过目同意就在网上发表了。我读后感到虽然大体似乎是那么回事，但许多地方词不达意甚至错误。比如“清末民初”写成"明末清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由于当时聚会是随意聊天，东拉西扯，转化成文字就显得杂乱无章，甚至哪些是主席的话，哪些是我个人拙见，都混杂纠缠不清。对当时某些背景，也缺少必要交代。我是很不满意的。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中央文献有同志对此文涉及内容很感兴趣，托人捎信，建议我将其整理校对，重新加工一下。受人之托，我开始着手对网上这篇文章进行了修订。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2010年5月29日，家母去世，修订停顿。同年年底家母入葬后，又重新拾起。</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2011年3月，修订稿初定，恰逢天安门前竖起了孔子铜像，我不知此举的背景，恐探讨历史学术之谈，变成了现实政治问题，文章虽已修订完成，但决定暂时不予公开。</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毛远新</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2011年5月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在一次朋友聚会时，有人谈到中央电视台某人讲主席诗词讲的非常好，我说，1973年主席写了一首赠郭沫若同志的诗，没有公开发表。后来有些主席未公开发表的文章、诗词都公开了，但这首诗却不大讲。为什么呢?因为涉及批孔。我从秦城监狱出来后听说，批孔就是批周总理，所以都要回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eastAsia" w:ascii="宋体" w:hAnsi="宋体" w:eastAsia="宋体" w:cs="宋体"/>
          <w:color w:val="000000"/>
          <w:kern w:val="0"/>
          <w:sz w:val="60"/>
          <w:szCs w:val="60"/>
          <w:lang w:val="en-US" w:eastAsia="zh-CN" w:bidi="ar"/>
        </w:rPr>
        <w:t>......</w:t>
      </w:r>
      <w:r>
        <w:rPr>
          <w:rFonts w:hint="default" w:ascii="宋体" w:hAnsi="宋体" w:eastAsia="宋体" w:cs="宋体"/>
          <w:color w:val="000000"/>
          <w:kern w:val="0"/>
          <w:sz w:val="60"/>
          <w:szCs w:val="60"/>
          <w:lang w:val="en-US" w:eastAsia="zh-CN" w:bidi="ar"/>
        </w:rPr>
        <w:t>我个人理解，主席提出批孔的用意，不像某些人想的那样，似乎对孔子本人有什么特别成见，专和老夫子过不去。</w:t>
      </w:r>
      <w:r>
        <w:rPr>
          <w:rFonts w:hint="default" w:ascii="宋体" w:hAnsi="宋体" w:eastAsia="宋体" w:cs="宋体"/>
          <w:b/>
          <w:bCs/>
          <w:color w:val="851321" w:themeColor="accent6" w:themeShade="80"/>
          <w:kern w:val="0"/>
          <w:sz w:val="60"/>
          <w:szCs w:val="60"/>
          <w:lang w:val="en-US" w:eastAsia="zh-CN" w:bidi="ar"/>
        </w:rPr>
        <w:t>也不是具体针对某个个人的，比如周总理。</w:t>
      </w:r>
      <w:r>
        <w:rPr>
          <w:rFonts w:hint="default" w:ascii="宋体" w:hAnsi="宋体" w:eastAsia="宋体" w:cs="宋体"/>
          <w:color w:val="000000"/>
          <w:kern w:val="0"/>
          <w:sz w:val="60"/>
          <w:szCs w:val="60"/>
          <w:lang w:val="en-US" w:eastAsia="zh-CN" w:bidi="ar"/>
        </w:rPr>
        <w:t>就连对郭老本人的史学研究，主席也是既有批评，也有许多赞同。</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我个人认为，主席提出批孔，是针对党内及社会上的某种思潮，是站在历史的高度，是基于对党和国家前途命运更深层次的思考，或者说是某种更深层次的忧虑。</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至于这种思考和忧虑是对是错，那只有留给后人去评说，留给历史去检验了。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2011年5月20日修订稿</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【注】：</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当时主席讲要批孔，给我交代的具体任务，主要是认真贯彻周总理在党的“十大”作的政治报告。</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特别是报告中肯定党的九大以来的路线，学习理解周总理报告中所说的“在社会主义历史阶段，始终存在着阶级、阶级矛盾和阶级斗争，存在着社会主义同资本主义两条道路的斗争，存在着资本主义复辟的危险性，存在着帝国主义、社会帝国主义进行颠覆和侵略的威胁。反映这些矛盾的党内两条路线斗争将长期存在，还会出现十次、二十次、三十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当时主席还强调总理报告中讲的“当一种错误倾向像潮水般涌来的时候，要不怕孤立，要敢于反潮流，敢于硬着头皮顶住。”</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还有报告中提出的“要巩固和发展无产阶级文化大革命的成果，把各项工作做好。”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b/>
          <w:bCs/>
          <w:color w:val="851321" w:themeColor="accent6" w:themeShade="80"/>
          <w:kern w:val="0"/>
          <w:sz w:val="60"/>
          <w:szCs w:val="60"/>
          <w:lang w:val="en-US" w:eastAsia="zh-CN" w:bidi="ar"/>
        </w:rPr>
      </w:pPr>
      <w:r>
        <w:rPr>
          <w:rFonts w:hint="default" w:ascii="宋体" w:hAnsi="宋体" w:eastAsia="宋体" w:cs="宋体"/>
          <w:b/>
          <w:bCs/>
          <w:color w:val="851321" w:themeColor="accent6" w:themeShade="80"/>
          <w:kern w:val="0"/>
          <w:sz w:val="60"/>
          <w:szCs w:val="60"/>
          <w:lang w:val="en-US" w:eastAsia="zh-CN" w:bidi="ar"/>
        </w:rPr>
        <w:t>至于后来有人说批孔就是批周总理，不知他们有什么根据，反正我当时毫无察觉，并不知晓。</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我当时认为主要是针对林彪，针对林立果搞的政变纲领——《五七一工程纪要》以及当时社会上某种思潮。</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60"/>
          <w:szCs w:val="60"/>
          <w:lang w:val="en-US" w:eastAsia="zh-CN" w:bidi="ar"/>
        </w:rPr>
      </w:pPr>
      <w:r>
        <w:rPr>
          <w:rFonts w:hint="default" w:ascii="宋体" w:hAnsi="宋体" w:eastAsia="宋体" w:cs="宋体"/>
          <w:color w:val="000000"/>
          <w:kern w:val="0"/>
          <w:sz w:val="60"/>
          <w:szCs w:val="60"/>
          <w:lang w:val="en-US" w:eastAsia="zh-CN" w:bidi="ar"/>
        </w:rPr>
        <w:t>对此有兴趣者，可将周总理的《十大政治报告》与林立果的《五七一工程纪要》作个比较。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helvetica" w:hAnsi="helvetica" w:eastAsia="宋体" w:cs="helvetica"/>
          <w:kern w:val="0"/>
          <w:sz w:val="60"/>
          <w:szCs w:val="60"/>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60"/>
          <w:szCs w:val="60"/>
          <w:lang w:val="en-US" w:eastAsia="zh-CN" w:bidi="ar"/>
        </w:rPr>
      </w:pP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7CD1F64"/>
    <w:rsid w:val="02DA3F69"/>
    <w:rsid w:val="05CB36A2"/>
    <w:rsid w:val="08B56015"/>
    <w:rsid w:val="0E3A5A43"/>
    <w:rsid w:val="17CD1F64"/>
    <w:rsid w:val="19A253E9"/>
    <w:rsid w:val="2F5044C1"/>
    <w:rsid w:val="4A2F4A91"/>
    <w:rsid w:val="525351EA"/>
    <w:rsid w:val="564106C4"/>
    <w:rsid w:val="5758643F"/>
    <w:rsid w:val="61283F42"/>
    <w:rsid w:val="6D0C5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2024-05-25T14:00:00Z</dcterms:created>
  <dc:creator>Administrator</dc:creator>
  <cp:lastModifiedBy>Administrator</cp:lastModifiedBy>
  <dcterms:modified xsi:type="dcterms:W3CDTF">2024-05-27T09:26:29Z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E0FB79516E2A44EB80643339E8B33294_11</vt:lpwstr>
  </property>
</Properties>
</file>