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张春桥谈复辟</w:t>
      </w:r>
    </w:p>
    <w:p>
      <w:pP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“言行不一，是常见病。可</w:t>
      </w:r>
      <w:bookmarkStart w:id="0" w:name="_GoBack"/>
      <w:bookmarkEnd w:id="0"/>
      <w:r>
        <w:rPr>
          <w:rFonts w:ascii="Segoe UI" w:hAnsi="Segoe UI" w:eastAsia="Segoe UI" w:cs="Segoe UI"/>
          <w:i w:val="0"/>
          <w:iCs w:val="0"/>
          <w:caps w:val="0"/>
          <w:color w:val="333333"/>
          <w:spacing w:val="0"/>
          <w:sz w:val="18"/>
          <w:szCs w:val="18"/>
          <w:shd w:val="clear" w:fill="FFFFFF"/>
        </w:rPr>
        <w:t>惜报纸上都是批评老百姓，以及所谓"民族劣根性"，前者是把板子打在老百姓屁股上，后者是整个民族都要挨打。崇洋也好，媚外也好，都是大人物带的头，至少是没有尽到教育责任。工人群众中的问题，我是向来不怪工人的，如果没有问题，那才奇怪。头几年，几乎雷锋、好八连都洋化了，难道也怪这些连队吗？不说了，这方面你们比我见到的多。”</w:t>
      </w:r>
    </w:p>
    <w:p>
      <w:pPr>
        <w:rPr>
          <w:rFonts w:hint="default" w:ascii="Segoe UI" w:hAnsi="Segoe UI" w:eastAsia="Segoe UI" w:cs="Segoe UI"/>
          <w:i w:val="0"/>
          <w:iCs w:val="0"/>
          <w:caps w:val="0"/>
          <w:color w:val="333333"/>
          <w:spacing w:val="0"/>
          <w:sz w:val="18"/>
          <w:szCs w:val="18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361149DA"/>
    <w:rsid w:val="36114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2024-05-28T14:31:00Z</dcterms:created>
  <dc:creator>Administrator</dc:creator>
  <cp:lastModifiedBy>Administrator</cp:lastModifiedBy>
  <dcterms:modified xsi:type="dcterms:W3CDTF">2024-05-28T15:43:34Z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0FE58122C127443DB027E5992AB4C8C1_11</vt:lpwstr>
  </property>
</Properties>
</file>