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AE3F5" w:themeColor="accent1" w:themeTint="33"/>
  <w:body>
    <w:p w14:paraId="41E3F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09BA4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202170" cy="2847340"/>
            <wp:effectExtent l="0" t="0" r="6350" b="254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21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8B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掩盖、压制矛盾，不是自信；捂嘴，更不是自信。</w:t>
      </w:r>
    </w:p>
    <w:p w14:paraId="3C059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外一篇：毛主席谈真假共产党</w:t>
      </w:r>
    </w:p>
    <w:p w14:paraId="096D5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近日，公众号“老巫白话”发了几篇关于兰州银行与电商“百合e家”的关系以及“百合e家”加盟商资金被套的文章，无一例外都被删除，删除得干干净净。</w:t>
      </w:r>
    </w:p>
    <w:p w14:paraId="55F49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推荐阅读：</w:t>
      </w:r>
    </w:p>
    <w:p w14:paraId="3D4AB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</w:rPr>
        <w:instrText xml:space="preserve"> HYPERLINK "https://mp.weixin.qq.com/s/tpbkd5fIBYGwK3qkoo_z3A" \t "_blank" </w:instrTex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z w:val="52"/>
          <w:szCs w:val="52"/>
        </w:rPr>
        <w:t>先富带动后富吗？但，先富删后负的帖子是可以的</w: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end"/>
      </w:r>
    </w:p>
    <w:p w14:paraId="14DF9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摘录如下：</w:t>
      </w:r>
    </w:p>
    <w:p w14:paraId="6A2B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公众号“老巫白话”揭露了当地某些先富将“老巫白话”这些后富变成“后负”的“故事”，但是惨遭某些先富的删帖。</w:t>
      </w:r>
    </w:p>
    <w:p w14:paraId="25E27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504940" cy="3873500"/>
            <wp:effectExtent l="0" t="0" r="2540" b="12700"/>
            <wp:docPr id="8" name="图片 8" descr="af5c769fb00b9e9b4657cca1e4412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f5c769fb00b9e9b4657cca1e4412b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7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543550" cy="10116820"/>
            <wp:effectExtent l="0" t="0" r="3810" b="2540"/>
            <wp:docPr id="9" name="图片 9" descr="b08847b7f2d2e7cccaa27da7c4232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08847b7f2d2e7cccaa27da7c423216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01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6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这是星期一到星期四，公众号“老巫白话”发的四篇文章，无一例外都被“接相关投诉”“此内容因违规无法查看”</w:t>
      </w:r>
    </w:p>
    <w:p w14:paraId="62A70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875780" cy="4979670"/>
            <wp:effectExtent l="0" t="0" r="12700" b="3810"/>
            <wp:docPr id="10" name="图片 10" descr="1f071c278f8d7c8d735559fa390533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f071c278f8d7c8d735559fa390533d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578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2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这不是孤例。</w:t>
      </w:r>
    </w:p>
    <w:p w14:paraId="32EA1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2026年3月份，乌有之乡主编李道国被跨省抓捕并以“敲诈勒索罪”刑拘，最后以“没有犯罪事实”而释放。期间，笔者根据公开信息发了几篇文章，无一例外，全部被删除。</w:t>
      </w:r>
    </w:p>
    <w:p w14:paraId="2C4DE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推荐阅读：</w:t>
      </w:r>
    </w:p>
    <w:p w14:paraId="374D4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48"/>
          <w:szCs w:val="48"/>
          <w:lang w:val="en-US" w:eastAsia="zh-CN"/>
        </w:rPr>
      </w:pPr>
      <w:r>
        <w:rPr>
          <w:rFonts w:ascii="宋体" w:hAnsi="宋体" w:eastAsia="宋体" w:cs="宋体"/>
          <w:sz w:val="48"/>
          <w:szCs w:val="48"/>
        </w:rPr>
        <w:fldChar w:fldCharType="begin"/>
      </w:r>
      <w:r>
        <w:rPr>
          <w:rFonts w:ascii="宋体" w:hAnsi="宋体" w:eastAsia="宋体" w:cs="宋体"/>
          <w:sz w:val="48"/>
          <w:szCs w:val="48"/>
        </w:rPr>
        <w:instrText xml:space="preserve"> HYPERLINK "https://mp.weixin.qq.com/s/cNvgTlKPLCcy6FYkF-QeXw" \t "_blank" </w:instrText>
      </w:r>
      <w:r>
        <w:rPr>
          <w:rFonts w:ascii="宋体" w:hAnsi="宋体" w:eastAsia="宋体" w:cs="宋体"/>
          <w:sz w:val="48"/>
          <w:szCs w:val="48"/>
        </w:rPr>
        <w:fldChar w:fldCharType="separate"/>
      </w:r>
      <w:r>
        <w:rPr>
          <w:rStyle w:val="5"/>
          <w:rFonts w:ascii="宋体" w:hAnsi="宋体" w:eastAsia="宋体" w:cs="宋体"/>
          <w:sz w:val="48"/>
          <w:szCs w:val="48"/>
        </w:rPr>
        <w:t>跨省刑拘是对的，无罪释放也是对的。那么谁错了？</w:t>
      </w:r>
      <w:r>
        <w:rPr>
          <w:rFonts w:ascii="宋体" w:hAnsi="宋体" w:eastAsia="宋体" w:cs="宋体"/>
          <w:sz w:val="48"/>
          <w:szCs w:val="48"/>
        </w:rPr>
        <w:fldChar w:fldCharType="end"/>
      </w:r>
    </w:p>
    <w:p w14:paraId="5B4BE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4952365" cy="8105140"/>
            <wp:effectExtent l="0" t="0" r="635" b="2540"/>
            <wp:docPr id="1" name="图片 1" descr="00423b09c6ce2dbe52e998b36b7b8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423b09c6ce2dbe52e998b36b7b838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81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2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2768600" cy="10311765"/>
            <wp:effectExtent l="0" t="0" r="5080" b="5715"/>
            <wp:docPr id="2" name="图片 2" descr="198fc6e765a79dba5bb65f8da323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98fc6e765a79dba5bb65f8da3233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3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1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077710" cy="7780020"/>
            <wp:effectExtent l="0" t="0" r="8890" b="7620"/>
            <wp:docPr id="3" name="图片 3" descr="5f4f7f9ca4cd5514f2be342446d944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f4f7f9ca4cd5514f2be342446d9445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7710" cy="77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D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3067685" cy="10167620"/>
            <wp:effectExtent l="0" t="0" r="10795" b="12700"/>
            <wp:docPr id="4" name="图片 4" descr="814ad07eb5d024f62990ae05d93bf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14ad07eb5d024f62990ae05d93bf8f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1016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A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为什么不敢让人说呢？说了会怎么样？天会塌下来吗？</w:t>
      </w:r>
    </w:p>
    <w:p w14:paraId="326D2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作为先富者及其背后的力量，捂嘴、不让人说话，是国民党作风。</w:t>
      </w:r>
    </w:p>
    <w:p w14:paraId="14851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作为先富者及其背后的力量，捂嘴、不让人说话，是压制矛盾，是没有自信，是恐惧。</w:t>
      </w:r>
    </w:p>
    <w:p w14:paraId="262D3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从这里完全可以看到，谁会最坚决地反对毛主席所倡导的大鸣、大放、大字报、大辩论了。</w:t>
      </w:r>
    </w:p>
    <w:p w14:paraId="342EC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推荐阅读：</w:t>
      </w:r>
    </w:p>
    <w:p w14:paraId="146C9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</w:rPr>
        <w:instrText xml:space="preserve"> HYPERLINK "https://mp.weixin.qq.com/s/RKJGdgdQLNHiDlYQ3bSl_g" \t "_blank" </w:instrTex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z w:val="52"/>
          <w:szCs w:val="52"/>
        </w:rPr>
        <w:t>邓小平提议取消大鸣大放大字报大辩论，有利于谁？</w: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end"/>
      </w:r>
    </w:p>
    <w:p w14:paraId="211EF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公众号“老巫白话”所谈事情的来龙去脉请见：</w:t>
      </w:r>
    </w:p>
    <w:p w14:paraId="78207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"https://mp.weixin.qq.com/s/M_ZCPeTJ9OokLFG-RGGu4Q"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一家便利店背后的金融资本收割逻辑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2FB35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"https://mp.weixin.qq.com/s/DmvTkum2IzQpdn1C7DaDGw"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52"/>
          <w:szCs w:val="52"/>
          <w:u w:val="single"/>
          <w:lang w:val="en-US" w:eastAsia="zh-CN"/>
        </w:rPr>
        <w:t>兰州银行同不良贷款受让方关系匪浅 互联网金融平台涉嫌误导性宣传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0F48A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另据网易的文章《兰州银行连收罚单，管理漏洞谁为女工损失负责？》披露：</w:t>
      </w:r>
    </w:p>
    <w:p w14:paraId="66E41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近期，一起涉及兰州银行与“百合e家”便利店加盟商的合同纠纷引发关注。加盟商颂女士的遭遇，揭示了一个值得警惕的现象：当金融机构的品牌形象被广泛运用于商业合作场景，而合作方一旦出现经营问题，银行能否仅以“无股权关系”为由完成风险切割？这起事件所折射出的，不仅是单一企业的管理失序，更是金融品牌在跨界合作中权责边界模糊的共性问题。</w:t>
      </w:r>
    </w:p>
    <w:p w14:paraId="6450D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一、说是“战略合作”，出事就“没有关系”</w:t>
      </w:r>
    </w:p>
    <w:p w14:paraId="74ED5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据颂女士陈述，2016年她决定加盟“百合e家”便利店，主要基于该项目的“银行背景”印象。公开信息显示，该项目在宣传中常与兰州银行行徽并列出现，店内布设兰州银行ATM机，部分签约甚至在兰州银行总部大楼内完成。对于普通经营者而言，这样的场景很难不被理解为银行对该项目的信用背书。</w:t>
      </w:r>
    </w:p>
    <w:p w14:paraId="2221F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然而，当门店经营不善、运营方失联后，颂女士向兰州银行寻求解释时，得到的答复是：该行与运营公司“无股权关系”，仅为租赁合作。</w:t>
      </w:r>
    </w:p>
    <w:p w14:paraId="2A12F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法律形式上看，这一回应并无明显瑕疵。但问题在于，在项目推广阶段，银行并未主动向公众澄清这种“有限合作”的边界。当品牌、设备、场地甚至人员形成深度嵌套时，公众产生“银行兜底”的认知，恐怕不是个体判断失误，而是信息不对称下的必然结果。】</w:t>
      </w:r>
    </w:p>
    <w:p w14:paraId="77DFE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与本文完全无关的题外话</w:t>
      </w:r>
    </w:p>
    <w:p w14:paraId="51A8E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——读《毛泽东传》</w:t>
      </w:r>
    </w:p>
    <w:p w14:paraId="7FF2E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中央文献研究室《毛泽东传》：</w:t>
      </w:r>
    </w:p>
    <w:p w14:paraId="16757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【刘子厚汇报河北省在整风整社中揭发出两个县的严重问题。毛泽东再次强调，在三类县、社、队不能依靠原来的干部，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这些人是“假共产党、真国民党”。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1AA79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就在《人民日报》发表《横扫一切牛鬼蛇神》社论的同一天，正在杭州的毛泽东看到了《红旗》杂志社和《光明日报》总编室所编的《文化革命简报》第十三期刊载的北京大学聂元梓等七人所写的《宋硕、陆平、彭珮云在文化革命中究竟干些什么？》的大字报，他们写道：“反击向党向社会主义向毛泽东思想猖狂进攻的黑帮，这是一场你死我活的阶级斗争，革命人民必须充分发动起来，轰轰烈烈、义愤声讨，开大会，出大字报就是最好的一种群众战斗形式。”“打破修正主义的种种控制和一切阴谋鬼（诡）计，坚决、彻底、干净、全部地消灭一切牛鬼蛇神、一切赫鲁晓夫式的反革命的修正主义分子，把社会主义革命进行到底。”毛泽东觉得，如果公开发表这张大字报，可以成为一个有效的突破口，可以打乱原有的秩序，使群众的手脚放开。他当即写了批示：</w:t>
      </w:r>
    </w:p>
    <w:p w14:paraId="00E3A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“康生、伯达同志：此文可以由新华社全文广播，在全国各报刊发表，十分必要。北京大学这个反动堡垒，从此可以开始打破。请酌办。</w:t>
      </w:r>
    </w:p>
    <w:p w14:paraId="4476E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毛泽东六月一日”</w:t>
      </w:r>
    </w:p>
    <w:p w14:paraId="4496B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当天晚上，中央人民广播电台播放了聂元梓等人的这张大字报，北京大学校园内就像开了锅一样，立刻沸腾起来。第二天，《人民日报》又全文刊登，并由王力、关锋、曹轶欧（康生的妻子）执笔，以评论员名义发表了一篇《欢呼北大的一张大字报》，指名道姓地攻击北京大学校长、党委书记陆平说：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“你们的‘党’不是真共产党，而是假共产党，是修正主义的‘党’。你们的‘组织’就是反党集团。你们的纪律就是对无产阶级革命派实行残酷无情的打击。”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后来，在八届十一中全会期间，毛泽东为这篇评论员文章加了一条注，其中说：“危害革命的错误领导，不应当无条件接受，而应该坚决抵制。”】</w:t>
      </w:r>
    </w:p>
    <w:p w14:paraId="043D9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4C7D9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九云图无法下载文字版，如需转载，请发邮件到jgsgx1966@outlook.com免费获取word版</w:t>
      </w:r>
    </w:p>
    <w:p w14:paraId="3BB8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“井冈山观心1927”已经多次被禁言，为防失联，笔者又注册了几个备用公众号，以及各平台ID，长按二维码可以直接关注：</w:t>
      </w:r>
    </w:p>
    <w:p w14:paraId="34ED5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0F0BF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</w:t>
      </w:r>
    </w:p>
    <w:p w14:paraId="2B5CB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井冈山观心1949</w:t>
      </w:r>
    </w:p>
    <w:p w14:paraId="5D464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163D5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0E88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微博（2个）：</w:t>
      </w:r>
    </w:p>
    <w:p w14:paraId="43D77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051EC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33AB5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</w:t>
      </w:r>
    </w:p>
    <w:p w14:paraId="5DF7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0411E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</w:t>
      </w:r>
    </w:p>
    <w:p w14:paraId="6BB3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1CEDE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</w:p>
    <w:p w14:paraId="58ED8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45350" cy="4368165"/>
            <wp:effectExtent l="0" t="0" r="8890" b="5715"/>
            <wp:docPr id="12" name="图片 12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babb3cb926a21d9ff73470da662cd8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535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43A7F"/>
    <w:rsid w:val="176D168A"/>
    <w:rsid w:val="1AA43A7F"/>
    <w:rsid w:val="1D7C3337"/>
    <w:rsid w:val="22A0046E"/>
    <w:rsid w:val="2A2F3133"/>
    <w:rsid w:val="3028687F"/>
    <w:rsid w:val="36543D3E"/>
    <w:rsid w:val="3EE6343A"/>
    <w:rsid w:val="49405DB8"/>
    <w:rsid w:val="626751FB"/>
    <w:rsid w:val="67880D3F"/>
    <w:rsid w:val="68374B41"/>
    <w:rsid w:val="69F9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2052</Words>
  <Characters>2122</Characters>
  <Lines>0</Lines>
  <Paragraphs>0</Paragraphs>
  <TotalTime>2</TotalTime>
  <ScaleCrop>false</ScaleCrop>
  <LinksUpToDate>false</LinksUpToDate>
  <CharactersWithSpaces>2123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2026-06-15T07:17:00Z</dcterms:created>
  <dc:creator>Administrator</dc:creator>
  <cp:lastModifiedBy>Administrator</cp:lastModifiedBy>
  <dcterms:modified xsi:type="dcterms:W3CDTF">2026-06-15T09:10:40Z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C64965E3471449CE8ACAA48B299A1874_11</vt:lpwstr>
  </property>
  <property fmtid="{D5CDD505-2E9C-101B-9397-08002B2CF9AE}" pid="4" name="KSOTemplateDocerSaveRecord">
    <vt:lpwstr>eyJoZGlkIjoiY2Q3YWU0YWNjMjQyMDI1ZTFhM2M4OTM0ZjcyYzNkNmQifQ==</vt:lpwstr>
  </property>
</Properties>
</file>