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Bdr>
          <w:bottom w:val="single" w:color="auto" w:sz="4" w:space="0"/>
        </w:pBdr>
        <w:bidi w:val="0"/>
        <w:rPr>
          <w:rFonts w:hint="eastAsia"/>
          <w:b/>
          <w:bCs/>
          <w:sz w:val="52"/>
          <w:szCs w:val="52"/>
          <w:lang w:val="en-US" w:eastAsia="zh-CN"/>
        </w:rPr>
      </w:pPr>
      <w:r>
        <w:rPr>
          <w:rFonts w:hint="eastAsia"/>
          <w:b/>
          <w:bCs/>
          <w:sz w:val="52"/>
          <w:szCs w:val="52"/>
          <w:lang w:val="en-US" w:eastAsia="zh-CN"/>
        </w:rPr>
        <w:t>因九云图无法下载文字版，如需转载，可发邮件到jgsgx1966@outlook.com免费获取word版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0" w:afterAutospacing="0"/>
        <w:ind w:left="0" w:right="0" w:firstLine="0"/>
        <w:jc w:val="both"/>
        <w:textAlignment w:val="auto"/>
        <w:rPr>
          <w:rFonts w:hint="eastAsia" w:asciiTheme="minorHAnsi" w:hAnsiTheme="minorHAnsi" w:eastAsiaTheme="minorEastAsia" w:cstheme="minorBidi"/>
          <w:b/>
          <w:bCs/>
          <w:kern w:val="2"/>
          <w:sz w:val="52"/>
          <w:szCs w:val="52"/>
          <w:lang w:val="en-US" w:eastAsia="zh-CN" w:bidi="ar-SA"/>
        </w:rPr>
      </w:pPr>
      <w:r>
        <w:rPr>
          <w:rFonts w:hint="eastAsia" w:asciiTheme="minorHAnsi" w:hAnsiTheme="minorHAnsi" w:eastAsiaTheme="minorEastAsia" w:cstheme="minorBidi"/>
          <w:b/>
          <w:bCs/>
          <w:spacing w:val="0"/>
          <w:kern w:val="0"/>
          <w:sz w:val="52"/>
          <w:szCs w:val="52"/>
          <w:fitText w:val="1560" w:id="1040059171"/>
          <w:lang w:val="en-US" w:eastAsia="zh-CN" w:bidi="ar-SA"/>
        </w:rPr>
        <w:t>公众号</w:t>
      </w:r>
      <w:r>
        <w:rPr>
          <w:rFonts w:hint="eastAsia" w:asciiTheme="minorHAnsi" w:hAnsiTheme="minorHAnsi" w:eastAsiaTheme="minorEastAsia" w:cstheme="minorBidi"/>
          <w:b/>
          <w:bCs/>
          <w:kern w:val="2"/>
          <w:sz w:val="52"/>
          <w:szCs w:val="52"/>
          <w:lang w:val="en-US" w:eastAsia="zh-CN" w:bidi="ar-SA"/>
        </w:rPr>
        <w:t>：井冈山观心1927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Theme="minorHAnsi" w:hAnsiTheme="minorHAnsi" w:eastAsiaTheme="minorEastAsia" w:cstheme="minorBidi"/>
          <w:b/>
          <w:bCs/>
          <w:kern w:val="2"/>
          <w:sz w:val="52"/>
          <w:szCs w:val="52"/>
          <w:lang w:val="en-US" w:eastAsia="zh-CN" w:bidi="ar-SA"/>
        </w:rPr>
      </w:pPr>
      <w:r>
        <w:rPr>
          <w:rFonts w:hint="eastAsia" w:asciiTheme="minorHAnsi" w:hAnsiTheme="minorHAnsi" w:eastAsiaTheme="minorEastAsia" w:cstheme="minorBidi"/>
          <w:b/>
          <w:bCs/>
          <w:spacing w:val="260"/>
          <w:kern w:val="0"/>
          <w:sz w:val="52"/>
          <w:szCs w:val="52"/>
          <w:fitText w:val="1560" w:id="17591939"/>
          <w:lang w:val="en-US" w:eastAsia="zh-CN" w:bidi="ar-SA"/>
        </w:rPr>
        <w:t>微</w:t>
      </w:r>
      <w:r>
        <w:rPr>
          <w:rFonts w:hint="eastAsia" w:asciiTheme="minorHAnsi" w:hAnsiTheme="minorHAnsi" w:eastAsiaTheme="minorEastAsia" w:cstheme="minorBidi"/>
          <w:b/>
          <w:bCs/>
          <w:spacing w:val="0"/>
          <w:kern w:val="0"/>
          <w:sz w:val="52"/>
          <w:szCs w:val="52"/>
          <w:fitText w:val="1560" w:id="17591939"/>
          <w:lang w:val="en-US" w:eastAsia="zh-CN" w:bidi="ar-SA"/>
        </w:rPr>
        <w:t>博</w:t>
      </w:r>
      <w:r>
        <w:rPr>
          <w:rFonts w:hint="eastAsia" w:asciiTheme="minorHAnsi" w:hAnsiTheme="minorHAnsi" w:eastAsiaTheme="minorEastAsia" w:cstheme="minorBidi"/>
          <w:b/>
          <w:bCs/>
          <w:kern w:val="2"/>
          <w:sz w:val="52"/>
          <w:szCs w:val="52"/>
          <w:lang w:val="en-US" w:eastAsia="zh-CN" w:bidi="ar-SA"/>
        </w:rPr>
        <w:t>：井冈山观心1966</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Theme="minorHAnsi" w:hAnsiTheme="minorHAnsi" w:eastAsiaTheme="minorEastAsia" w:cstheme="minorBidi"/>
          <w:b/>
          <w:bCs/>
          <w:kern w:val="2"/>
          <w:sz w:val="52"/>
          <w:szCs w:val="52"/>
          <w:lang w:val="en-US" w:eastAsia="zh-CN" w:bidi="ar-SA"/>
        </w:rPr>
      </w:pPr>
      <w:r>
        <w:rPr>
          <w:rFonts w:hint="eastAsia" w:asciiTheme="minorHAnsi" w:hAnsiTheme="minorHAnsi" w:eastAsiaTheme="minorEastAsia" w:cstheme="minorBidi"/>
          <w:b/>
          <w:bCs/>
          <w:spacing w:val="260"/>
          <w:kern w:val="0"/>
          <w:sz w:val="52"/>
          <w:szCs w:val="52"/>
          <w:fitText w:val="1560" w:id="1815641133"/>
          <w:lang w:val="en-US" w:eastAsia="zh-CN" w:bidi="ar-SA"/>
        </w:rPr>
        <w:t>知</w:t>
      </w:r>
      <w:r>
        <w:rPr>
          <w:rFonts w:hint="eastAsia" w:asciiTheme="minorHAnsi" w:hAnsiTheme="minorHAnsi" w:eastAsiaTheme="minorEastAsia" w:cstheme="minorBidi"/>
          <w:b/>
          <w:bCs/>
          <w:spacing w:val="0"/>
          <w:kern w:val="0"/>
          <w:sz w:val="52"/>
          <w:szCs w:val="52"/>
          <w:fitText w:val="1560" w:id="1815641133"/>
          <w:lang w:val="en-US" w:eastAsia="zh-CN" w:bidi="ar-SA"/>
        </w:rPr>
        <w:t>乎</w:t>
      </w:r>
      <w:r>
        <w:rPr>
          <w:rFonts w:hint="eastAsia" w:asciiTheme="minorHAnsi" w:hAnsiTheme="minorHAnsi" w:eastAsiaTheme="minorEastAsia" w:cstheme="minorBidi"/>
          <w:b/>
          <w:bCs/>
          <w:kern w:val="2"/>
          <w:sz w:val="52"/>
          <w:szCs w:val="52"/>
          <w:lang w:val="en-US" w:eastAsia="zh-CN" w:bidi="ar-SA"/>
        </w:rPr>
        <w:t>：井冈山观心</w:t>
      </w:r>
      <w:bookmarkStart w:id="0" w:name="_GoBack"/>
      <w:bookmarkEnd w:id="0"/>
    </w:p>
    <w:p>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88" w:afterAutospacing="0"/>
        <w:ind w:left="0" w:right="0" w:firstLine="0"/>
        <w:jc w:val="both"/>
        <w:rPr>
          <w:rFonts w:hint="eastAsia" w:asciiTheme="minorHAnsi" w:hAnsiTheme="minorHAnsi" w:eastAsiaTheme="minorEastAsia" w:cstheme="minorBidi"/>
          <w:b/>
          <w:bCs/>
          <w:kern w:val="2"/>
          <w:sz w:val="52"/>
          <w:szCs w:val="52"/>
          <w:lang w:val="en-US" w:eastAsia="zh-CN" w:bidi="ar-SA"/>
        </w:rPr>
      </w:pPr>
      <w:r>
        <w:rPr>
          <w:rFonts w:hint="eastAsia" w:asciiTheme="minorHAnsi" w:hAnsiTheme="minorHAnsi" w:eastAsiaTheme="minorEastAsia" w:cstheme="minorBidi"/>
          <w:b/>
          <w:bCs/>
          <w:spacing w:val="0"/>
          <w:kern w:val="0"/>
          <w:sz w:val="52"/>
          <w:szCs w:val="52"/>
          <w:fitText w:val="1560" w:id="368529061"/>
          <w:lang w:val="en-US" w:eastAsia="zh-CN" w:bidi="ar-SA"/>
        </w:rPr>
        <w:t>小红书</w:t>
      </w:r>
      <w:r>
        <w:rPr>
          <w:rFonts w:hint="eastAsia" w:asciiTheme="minorHAnsi" w:hAnsiTheme="minorHAnsi" w:eastAsiaTheme="minorEastAsia" w:cstheme="minorBidi"/>
          <w:b/>
          <w:bCs/>
          <w:kern w:val="2"/>
          <w:sz w:val="52"/>
          <w:szCs w:val="52"/>
          <w:lang w:val="en-US" w:eastAsia="zh-CN" w:bidi="ar-SA"/>
        </w:rPr>
        <w:t>：井冈山观心</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新中国前三十年留给改革开放的大红利——土地——崽卖爷田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改革开放后，新中国前三十年被“精英”们贬得一无是处。实际上，否定（全盘否定、半否定）新中国前三十年的人，他们是因为对那个人民当家作主年代的仇恨——因为他们的“精英”特权被褫夺了。有很多不明真相的群众也被带着节奏否定那个伟大的年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他们否定新中国前三十年，无一例外都会说那个时代发展太慢，人民很苦。笔者写过系列文章正名：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"https://mp.weixin.qq.com/s?__biz=MzU1NzcyMjY5Mw==&amp;mid=2247487609&amp;idx=1&amp;sn=401474e651e740b174fb509f61a11790&amp;chksm=fc302d53cb47a4454e025f6d1912431028440277f30c758d1d7a784d8b839f58b76e1a560998&amp;token=215551235&amp;lang=zh_CN"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新中国前三十年的工业化是一堆破铜烂铁吗？之一</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color w:val="auto"/>
          <w:spacing w:val="7"/>
          <w:sz w:val="54"/>
          <w:szCs w:val="54"/>
          <w:u w:val="none"/>
          <w:shd w:val="clear" w:fill="FFFFFF"/>
        </w:rPr>
        <w:fldChar w:fldCharType="begin"/>
      </w:r>
      <w:r>
        <w:rPr>
          <w:rFonts w:hint="eastAsia" w:ascii="微软雅黑" w:hAnsi="微软雅黑" w:eastAsia="微软雅黑" w:cs="微软雅黑"/>
          <w:i w:val="0"/>
          <w:iCs w:val="0"/>
          <w:caps w:val="0"/>
          <w:color w:val="auto"/>
          <w:spacing w:val="7"/>
          <w:sz w:val="54"/>
          <w:szCs w:val="54"/>
          <w:u w:val="none"/>
          <w:shd w:val="clear" w:fill="FFFFFF"/>
        </w:rPr>
        <w:instrText xml:space="preserve"> HYPERLINK "https://mp.weixin.qq.com/s?__biz=MzU1NzcyMjY5Mw==&amp;mid=2247487568&amp;idx=1&amp;sn=1a63358182a89d47f468d228bb5df4d6&amp;chksm=fc302d7acb47a46c34d5f772c7eb6bb54c11e04e664199769911a1670baa043e0c9016005dd6&amp;token=215551235&amp;lang=zh_CN" \l "rd" </w:instrText>
      </w:r>
      <w:r>
        <w:rPr>
          <w:rFonts w:hint="eastAsia" w:ascii="微软雅黑" w:hAnsi="微软雅黑" w:eastAsia="微软雅黑" w:cs="微软雅黑"/>
          <w:i w:val="0"/>
          <w:iCs w:val="0"/>
          <w:caps w:val="0"/>
          <w:color w:val="auto"/>
          <w:spacing w:val="7"/>
          <w:sz w:val="54"/>
          <w:szCs w:val="54"/>
          <w:u w:val="none"/>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新中国前三十年发展速度慢？妥妥的第五大工业国</w:t>
      </w:r>
      <w:r>
        <w:rPr>
          <w:rFonts w:hint="eastAsia" w:ascii="微软雅黑" w:hAnsi="微软雅黑" w:eastAsia="微软雅黑" w:cs="微软雅黑"/>
          <w:i w:val="0"/>
          <w:iCs w:val="0"/>
          <w:caps w:val="0"/>
          <w:color w:val="auto"/>
          <w:spacing w:val="7"/>
          <w:sz w:val="54"/>
          <w:szCs w:val="54"/>
          <w:u w:val="none"/>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"https://mp.weixin.qq.com/s?__biz=MzU1NzcyMjY5Mw==&amp;mid=2247487568&amp;idx=2&amp;sn=b6505e08d911d605acf79a5ae699b63c&amp;chksm=fc302d7acb47a46c97a32c4e09e7cd65c8ffd5491573d8b68563f5cf879b89984d1752644949&amp;token=215551235&amp;lang=zh_CN"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 （十八） 前三十年中国人民一直挨饿吗？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"https://mp.weixin.qq.com/s?__biz=MzU1NzcyMjY5Mw==&amp;mid=2247484417&amp;idx=1&amp;sn=a04dcbed3518db6dd93ac67d67cb8ac6&amp;chksm=fc30392bcb47b03df5deda6fe463eb7620976c03270897c0d98050e108537b8bacc6cf65a890&amp;scene=21"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《邓选》学习（三十二）改开前后生活“苦”与“甜”之一</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"https://mp.weixin.qq.com/s?__biz=MzU1NzcyMjY5Mw==&amp;mid=2247484541&amp;idx=1&amp;sn=3123d19ba1ba82dc2fe72a10c27b8542&amp;chksm=fc303957cb47b0419b3ebc9c0fc32f0b64d5a5afb839e561006d9115c83d33227dd8897cfdcd&amp;scene=21"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《邓选》学习（三十三）改开前后生活“苦”与“甜”之二</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到底是谁让中国人吃饱饭？（之二）是袁隆平让中国人吃饱饭了吗？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是改革开放与包产到户解决中国人民不挨饿的吗？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"https://mp.weixin.qq.com/s?__biz=MzU1NzcyMjY5Mw==&amp;mid=2247486269&amp;idx=3&amp;sn=9f3626322a72d4cfc80224dbf7cb593d&amp;chksm=fc303617cb47bf018becb14f9492454362746af3b49ce1092677d41c81671bc5ec454957eb32&amp;scene=21" \l "wechat_redirect" </w:instrText>
      </w:r>
      <w:r>
        <w:rPr>
          <w:rFonts w:hint="eastAsia" w:ascii="微软雅黑" w:hAnsi="微软雅黑" w:eastAsia="微软雅黑" w:cs="微软雅黑"/>
          <w:i w:val="0"/>
          <w:iCs w:val="0"/>
          <w:caps w:val="0"/>
          <w:spacing w:val="7"/>
          <w:sz w:val="54"/>
          <w:szCs w:val="54"/>
          <w:shd w:val="clear" w:fill="FFFFFF"/>
        </w:rPr>
        <w:fldChar w:fldCharType="separate"/>
      </w:r>
      <w:r>
        <w:rPr>
          <w:rStyle w:val="8"/>
          <w:rFonts w:hint="eastAsia" w:ascii="微软雅黑" w:hAnsi="微软雅黑" w:eastAsia="微软雅黑" w:cs="微软雅黑"/>
          <w:i w:val="0"/>
          <w:iCs w:val="0"/>
          <w:caps w:val="0"/>
          <w:spacing w:val="7"/>
          <w:sz w:val="54"/>
          <w:szCs w:val="54"/>
          <w:shd w:val="clear" w:fill="FFFFFF"/>
        </w:rPr>
        <w:t>新中国前三十年的科技成就之十五（1969上）</w:t>
      </w:r>
      <w:r>
        <w:rPr>
          <w:rFonts w:hint="eastAsia" w:ascii="微软雅黑" w:hAnsi="微软雅黑" w:eastAsia="微软雅黑" w:cs="微软雅黑"/>
          <w:i w:val="0"/>
          <w:iCs w:val="0"/>
          <w:caps w:val="0"/>
          <w:spacing w:val="7"/>
          <w:sz w:val="54"/>
          <w:szCs w:val="54"/>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本系列，从另外一个角度解读改革开放发展“快”的背后。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笔者根据财政部、国家统计局等数据，整理了地方一般公共预算收入与国有土地使用权出让收入对比。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一般公共预算收入，一般来说是财政的最主要收入，尤其对地方政府来说，一般占总体收入的50%。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国有土地使用权出让收入，通俗地讲，就是卖地。该收入不包含在一般公共预算收入内。</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4398645"/>
            <wp:effectExtent l="0" t="0" r="2540" b="5715"/>
            <wp:docPr id="1" name="图片 1" descr="卖地收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卖地收入表"/>
                    <pic:cNvPicPr>
                      <a:picLocks noChangeAspect="1"/>
                    </pic:cNvPicPr>
                  </pic:nvPicPr>
                  <pic:blipFill>
                    <a:blip r:embed="rId4"/>
                    <a:stretch>
                      <a:fillRect/>
                    </a:stretch>
                  </pic:blipFill>
                  <pic:spPr>
                    <a:xfrm>
                      <a:off x="0" y="0"/>
                      <a:ext cx="5270500" cy="43986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从2002年开始，GDP发展进入快车道，恰在此时，卖地收入成为地方政府财政的主要来源，也就是所谓的土地财政。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衡量财政收入对卖地的依赖程度，可以用“土地财政依赖度”指标：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即，卖地收入÷地方一般公共预算收入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根据上述表格数据，笔者做了土地财政依赖度柱状图：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3347720"/>
            <wp:effectExtent l="0" t="0" r="2540" b="5080"/>
            <wp:docPr id="2" name="图片 2" descr="地方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地方土地财政依存度-图"/>
                    <pic:cNvPicPr>
                      <a:picLocks noChangeAspect="1"/>
                    </pic:cNvPicPr>
                  </pic:nvPicPr>
                  <pic:blipFill>
                    <a:blip r:embed="rId5"/>
                    <a:stretch>
                      <a:fillRect/>
                    </a:stretch>
                  </pic:blipFill>
                  <pic:spPr>
                    <a:xfrm>
                      <a:off x="0" y="0"/>
                      <a:ext cx="5270500" cy="33477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上图红色为地方土地财政依赖度超过50%的年份，蓝色为小于50%的年份。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图中可以看到，从2003年到2023年的21年间，地方财政有12年的土地依赖度超过50%，最高依赖度为2019年的92.74%；即使在依赖度最低的2008年，也达到33.51%。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92.74%的依赖度是什么意思呢？就是说，地方财政有192.74元的收入，其中92.74元是由卖地贡献的。</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2405" cy="3486785"/>
            <wp:effectExtent l="0" t="0" r="635" b="3175"/>
            <wp:docPr id="3" name="图片 3" descr="全国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全国土地财政依存度-图"/>
                    <pic:cNvPicPr>
                      <a:picLocks noChangeAspect="1"/>
                    </pic:cNvPicPr>
                  </pic:nvPicPr>
                  <pic:blipFill>
                    <a:blip r:embed="rId6"/>
                    <a:stretch>
                      <a:fillRect/>
                    </a:stretch>
                  </pic:blipFill>
                  <pic:spPr>
                    <a:xfrm>
                      <a:off x="0" y="0"/>
                      <a:ext cx="5272405" cy="34867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上图红色为全国土地财政依赖度超过25%的年份，蓝色为小于25%的年份。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图中可以看到，从2003年到2023年的21年间，地方财政有12年的土地依赖度超过25%，最高依赖度为2019年的49.23%；即使在依赖度最低的2008年，也达到15.65%。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这里计算的仅仅是卖地收入，还未将与土地相关的土地增值税、耕地占用税、城镇土地使用税等包括在内。土地增值税、耕地占用税、城镇土地使用税都包含在地方一般公共预算收入之内了。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笔者整理了2008-2023年度的土地增值税、耕地占用税、城镇土地使用税数据：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0500" cy="3145790"/>
            <wp:effectExtent l="0" t="0" r="2540" b="8890"/>
            <wp:docPr id="4" name="图片 4" descr="土地税收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土地税收入表"/>
                    <pic:cNvPicPr>
                      <a:picLocks noChangeAspect="1"/>
                    </pic:cNvPicPr>
                  </pic:nvPicPr>
                  <pic:blipFill>
                    <a:blip r:embed="rId7"/>
                    <a:stretch>
                      <a:fillRect/>
                    </a:stretch>
                  </pic:blipFill>
                  <pic:spPr>
                    <a:xfrm>
                      <a:off x="0" y="0"/>
                      <a:ext cx="5270500" cy="31457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根据该表，土地相关的土地增值税、耕地占用税、城镇土地使用税占地方财政收入比例的柱状图如下：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5271135" cy="3470275"/>
            <wp:effectExtent l="0" t="0" r="1905" b="4445"/>
            <wp:docPr id="5" name="图片 5" descr="土地税占财政收入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土地税占财政收入比-图"/>
                    <pic:cNvPicPr>
                      <a:picLocks noChangeAspect="1"/>
                    </pic:cNvPicPr>
                  </pic:nvPicPr>
                  <pic:blipFill>
                    <a:blip r:embed="rId8"/>
                    <a:stretch>
                      <a:fillRect/>
                    </a:stretch>
                  </pic:blipFill>
                  <pic:spPr>
                    <a:xfrm>
                      <a:off x="0" y="0"/>
                      <a:ext cx="5271135" cy="3470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图中蓝色为占比小于8%年份，红色为占比大于8%年份。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如果将土地相关税计入卖地收入，扩大的“土地财政依赖度”会更高。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数据如下：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6581140" cy="4114165"/>
            <wp:effectExtent l="0" t="0" r="2540" b="635"/>
            <wp:docPr id="6" name="图片 6" descr="扩大的地方土地财政依存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扩大的地方土地财政依存度-表"/>
                    <pic:cNvPicPr>
                      <a:picLocks noChangeAspect="1"/>
                    </pic:cNvPicPr>
                  </pic:nvPicPr>
                  <pic:blipFill>
                    <a:blip r:embed="rId9"/>
                    <a:stretch>
                      <a:fillRect/>
                    </a:stretch>
                  </pic:blipFill>
                  <pic:spPr>
                    <a:xfrm>
                      <a:off x="0" y="0"/>
                      <a:ext cx="6581140" cy="41141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6584315" cy="4157345"/>
            <wp:effectExtent l="0" t="0" r="14605" b="3175"/>
            <wp:docPr id="7" name="图片 7" descr="扩大的地方土地财政依存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扩大的地方土地财政依存度-图"/>
                    <pic:cNvPicPr>
                      <a:picLocks noChangeAspect="1"/>
                    </pic:cNvPicPr>
                  </pic:nvPicPr>
                  <pic:blipFill>
                    <a:blip r:embed="rId10"/>
                    <a:stretch>
                      <a:fillRect/>
                    </a:stretch>
                  </pic:blipFill>
                  <pic:spPr>
                    <a:xfrm>
                      <a:off x="0" y="0"/>
                      <a:ext cx="6584315" cy="41573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上图红色为扩大的地方土地财政依赖度超过70%的年份，蓝色为小于70%的年份。2008-2023年的16年间，扩大的地方土地财政依赖度有12年超过70%。其中2019、2020年的依赖度竟然超过100%。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line="504" w:lineRule="atLeast"/>
        <w:ind w:left="0" w:right="0" w:firstLine="0"/>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t>根据2022年1月11日“澎湃政务”转载“国民经略微信公众号”（作者：凯风）的文章：</w:t>
      </w:r>
      <w:r>
        <w:rPr>
          <w:rFonts w:hint="eastAsia" w:ascii="微软雅黑" w:hAnsi="微软雅黑" w:eastAsia="微软雅黑" w:cs="微软雅黑"/>
          <w:b/>
          <w:bCs/>
          <w:kern w:val="2"/>
          <w:sz w:val="60"/>
          <w:szCs w:val="60"/>
          <w:lang w:val="en-US" w:eastAsia="zh-CN" w:bidi="ar-SA"/>
        </w:rPr>
        <w:fldChar w:fldCharType="begin"/>
      </w:r>
      <w:r>
        <w:rPr>
          <w:rFonts w:hint="eastAsia" w:ascii="微软雅黑" w:hAnsi="微软雅黑" w:eastAsia="微软雅黑" w:cs="微软雅黑"/>
          <w:b/>
          <w:bCs/>
          <w:kern w:val="2"/>
          <w:sz w:val="60"/>
          <w:szCs w:val="60"/>
          <w:lang w:val="en-US" w:eastAsia="zh-CN" w:bidi="ar-SA"/>
        </w:rPr>
        <w:instrText xml:space="preserve"> HYPERLINK "https://www.thepaper.cn/newsDetail_forward_16237290" </w:instrText>
      </w:r>
      <w:r>
        <w:rPr>
          <w:rFonts w:hint="eastAsia" w:ascii="微软雅黑" w:hAnsi="微软雅黑" w:eastAsia="微软雅黑" w:cs="微软雅黑"/>
          <w:b/>
          <w:bCs/>
          <w:kern w:val="2"/>
          <w:sz w:val="60"/>
          <w:szCs w:val="60"/>
          <w:lang w:val="en-US" w:eastAsia="zh-CN" w:bidi="ar-SA"/>
        </w:rPr>
        <w:fldChar w:fldCharType="separate"/>
      </w:r>
      <w:r>
        <w:rPr>
          <w:rStyle w:val="8"/>
          <w:rFonts w:hint="eastAsia" w:ascii="微软雅黑" w:hAnsi="微软雅黑" w:eastAsia="微软雅黑" w:cs="微软雅黑"/>
          <w:b/>
          <w:bCs/>
          <w:kern w:val="2"/>
          <w:sz w:val="60"/>
          <w:szCs w:val="60"/>
          <w:lang w:val="en-US" w:eastAsia="zh-CN" w:bidi="ar-SA"/>
        </w:rPr>
        <w:t>全国卖地收入排行：谁是“最依赖”土地财政的城市？</w:t>
      </w:r>
      <w:r>
        <w:rPr>
          <w:rFonts w:hint="eastAsia" w:ascii="微软雅黑" w:hAnsi="微软雅黑" w:eastAsia="微软雅黑" w:cs="微软雅黑"/>
          <w:b/>
          <w:bCs/>
          <w:kern w:val="2"/>
          <w:sz w:val="60"/>
          <w:szCs w:val="60"/>
          <w:lang w:val="en-US" w:eastAsia="zh-CN" w:bidi="ar-SA"/>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2021年，12城卖地收入破千亿城市：</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drawing>
          <wp:inline distT="0" distB="0" distL="114300" distR="114300">
            <wp:extent cx="5273040" cy="7772400"/>
            <wp:effectExtent l="0" t="0" r="0" b="0"/>
            <wp:docPr id="8" name="图片 8" descr="2021卖地破千亿城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1卖地破千亿城市"/>
                    <pic:cNvPicPr>
                      <a:picLocks noChangeAspect="1"/>
                    </pic:cNvPicPr>
                  </pic:nvPicPr>
                  <pic:blipFill>
                    <a:blip r:embed="rId11"/>
                    <a:stretch>
                      <a:fillRect/>
                    </a:stretch>
                  </pic:blipFill>
                  <pic:spPr>
                    <a:xfrm>
                      <a:off x="0" y="0"/>
                      <a:ext cx="5273040" cy="77724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上海、杭州双双突破3000亿元，刷新历史记录。其中，杭州卖地收入已经连续5年超过2000亿元，在全国独一无二。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广州、北京、南京卖地收入突破了2000亿元，武汉、成都超过1500亿元，苏州、重庆、天津、深圳、西安超过1000亿元。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5年卖地收入排行：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3城破万亿，10城超5000亿</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val="0"/>
          <w:bCs w:val="0"/>
          <w:kern w:val="2"/>
          <w:sz w:val="60"/>
          <w:szCs w:val="60"/>
          <w:lang w:val="en-US" w:eastAsia="zh-CN" w:bidi="ar-SA"/>
        </w:rPr>
      </w:pPr>
      <w:r>
        <w:rPr>
          <w:rFonts w:hint="eastAsia" w:ascii="微软雅黑" w:hAnsi="微软雅黑" w:eastAsia="微软雅黑" w:cs="微软雅黑"/>
          <w:b w:val="0"/>
          <w:bCs w:val="0"/>
          <w:kern w:val="2"/>
          <w:sz w:val="60"/>
          <w:szCs w:val="60"/>
          <w:lang w:val="en-US" w:eastAsia="zh-CN" w:bidi="ar-SA"/>
        </w:rPr>
        <w:drawing>
          <wp:inline distT="0" distB="0" distL="114300" distR="114300">
            <wp:extent cx="5266690" cy="7505700"/>
            <wp:effectExtent l="0" t="0" r="6350" b="7620"/>
            <wp:docPr id="9" name="图片 9" descr="5年卖地收入排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年卖地收入排行"/>
                    <pic:cNvPicPr>
                      <a:picLocks noChangeAspect="1"/>
                    </pic:cNvPicPr>
                  </pic:nvPicPr>
                  <pic:blipFill>
                    <a:blip r:embed="rId12"/>
                    <a:stretch>
                      <a:fillRect/>
                    </a:stretch>
                  </pic:blipFill>
                  <pic:spPr>
                    <a:xfrm>
                      <a:off x="0" y="0"/>
                      <a:ext cx="5266690" cy="75057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杭州、上海、北京4城破万亿；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广州、南京、武汉、成都、天津、苏州、重庆7城超过5000亿；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佛山、郑州、宁波、深圳、西安、济南、青岛、福州等超过3000亿元。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color w:val="851321" w:themeColor="accent6" w:themeShade="80"/>
          <w:kern w:val="2"/>
          <w:sz w:val="60"/>
          <w:szCs w:val="60"/>
          <w:lang w:val="en-US" w:eastAsia="zh-CN" w:bidi="ar-SA"/>
        </w:rPr>
      </w:pPr>
      <w:r>
        <w:rPr>
          <w:rFonts w:hint="eastAsia" w:ascii="微软雅黑" w:hAnsi="微软雅黑" w:eastAsia="微软雅黑" w:cs="微软雅黑"/>
          <w:b/>
          <w:bCs/>
          <w:color w:val="851321" w:themeColor="accent6" w:themeShade="80"/>
          <w:kern w:val="2"/>
          <w:sz w:val="60"/>
          <w:szCs w:val="60"/>
          <w:lang w:val="en-US" w:eastAsia="zh-CN" w:bidi="ar-SA"/>
        </w:rPr>
        <w:t>土地财政依赖度排行：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13城超过100%，只有4城低于50%</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土地财政依赖度，一般可用卖地收入与一般公共预算收入之比来衡量。</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如果以卖地收入/一般公共预算收入衡量土地财政依赖度，那么谁是依赖度最高的城市？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center"/>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drawing>
          <wp:inline distT="0" distB="0" distL="114300" distR="114300">
            <wp:extent cx="5273040" cy="7951470"/>
            <wp:effectExtent l="0" t="0" r="0" b="3810"/>
            <wp:docPr id="10" name="图片 10" descr="主要城市土地财政依赖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主要城市土地财政依赖度"/>
                    <pic:cNvPicPr>
                      <a:picLocks noChangeAspect="1"/>
                    </pic:cNvPicPr>
                  </pic:nvPicPr>
                  <pic:blipFill>
                    <a:blip r:embed="rId13"/>
                    <a:stretch>
                      <a:fillRect/>
                    </a:stretch>
                  </pic:blipFill>
                  <pic:spPr>
                    <a:xfrm>
                      <a:off x="0" y="0"/>
                      <a:ext cx="5273040" cy="795147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在主要大中城市里，13城土地财政依赖度超过100%，其中杭州、佛山两地超过140%，位居全国前三。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南京、武汉、广州、西安、贵阳、南宁、常州、珠海、温州、昆明、长春等地超过100%，这其中不乏弱二线乃至三四线城市。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相比而言，北京、上海、深圳土地财政依赖度全国最低，是少有的几个不到50%的城市。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土地财政依赖度超过100%，意味着什么？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kern w:val="2"/>
          <w:sz w:val="60"/>
          <w:szCs w:val="60"/>
          <w:lang w:val="en-US" w:eastAsia="zh-CN" w:bidi="ar-SA"/>
        </w:rPr>
      </w:pPr>
      <w:r>
        <w:rPr>
          <w:rFonts w:hint="eastAsia" w:ascii="微软雅黑" w:hAnsi="微软雅黑" w:eastAsia="微软雅黑" w:cs="微软雅黑"/>
          <w:kern w:val="2"/>
          <w:sz w:val="60"/>
          <w:szCs w:val="60"/>
          <w:lang w:val="en-US" w:eastAsia="zh-CN" w:bidi="ar-SA"/>
        </w:rPr>
        <w:t>2020年，在全国300多个地市中，仅有16市一般公共预算收入超过1000亿元。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注意，上述的“土地财政依赖度”并不是扩大的“土地财政依赖度”。有很多城市“土地财政依赖度”竟然超过了100%，</w:t>
      </w:r>
      <w:r>
        <w:rPr>
          <w:rFonts w:hint="eastAsia" w:ascii="微软雅黑" w:hAnsi="微软雅黑" w:eastAsia="微软雅黑" w:cs="微软雅黑"/>
          <w:kern w:val="2"/>
          <w:sz w:val="60"/>
          <w:szCs w:val="60"/>
          <w:lang w:val="en-US" w:eastAsia="zh-CN" w:bidi="ar-SA"/>
        </w:rPr>
        <w:t>杭州、佛山两地超过140%。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这些卖地的收入，是怎么来的？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正是毛主席领导的中国共产党带领人民推翻了三座大山并实行了公有制，尤其农村土地从几千年的个人私有通过集体化变成了集体所有、国家所有，所以才能有改革开放后这么巨量的卖地收入。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如果在印度、欧美等土地私有的国家，是不可能有土地财政的。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毫不夸张地讲，土地私有化是影响印度发展的一大障碍。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这就是新中国前三十年为子孙后代留下的大红包、大红利。可以说，没有这个大红利，就没有所谓的改革开放的成就。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土地，是新中国的先辈们浴血牺牲奋斗的成果，是他们留给子孙后代的财富。注意，不是留给儿子、孙子两代，而是留给世世代代子孙。现在的卖地，就是崽卖爷田啊！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不仅仅是卖爷的田，也是在卖子孙后代的田啊！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卖掉爷爷置的地，享受着爷爷的奋斗成果，却在破口大骂爷爷，否定他们的伟大成就，这是什么？这是忘本，这是不肖子啊，是最恶毒、最为人所不齿的宵小——是中华民族最为不齿的、不知廉耻的败类——更是为无产阶级所不齿的败类。</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rPr>
        <w:drawing>
          <wp:inline distT="0" distB="0" distL="114300" distR="114300">
            <wp:extent cx="5257800" cy="2979420"/>
            <wp:effectExtent l="0" t="0" r="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57800" cy="2979420"/>
                    </a:xfrm>
                    <a:prstGeom prst="rect">
                      <a:avLst/>
                    </a:prstGeom>
                    <a:noFill/>
                    <a:ln>
                      <a:noFill/>
                    </a:ln>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A647C9D"/>
    <w:rsid w:val="0A647C9D"/>
    <w:rsid w:val="0E8548DB"/>
    <w:rsid w:val="1367088A"/>
    <w:rsid w:val="14D11340"/>
    <w:rsid w:val="16DF08BE"/>
    <w:rsid w:val="23EB20DD"/>
    <w:rsid w:val="253B299A"/>
    <w:rsid w:val="26A87B6B"/>
    <w:rsid w:val="2F245949"/>
    <w:rsid w:val="36BC34D7"/>
    <w:rsid w:val="4AE63806"/>
    <w:rsid w:val="4C407DF8"/>
    <w:rsid w:val="538243AD"/>
    <w:rsid w:val="61E0223F"/>
    <w:rsid w:val="62D13935"/>
    <w:rsid w:val="653335AF"/>
    <w:rsid w:val="69CF3C3D"/>
    <w:rsid w:val="733F6D0E"/>
    <w:rsid w:val="746638B7"/>
    <w:rsid w:val="79F203C0"/>
    <w:rsid w:val="7CFA2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FollowedHyperlink"/>
    <w:basedOn w:val="5"/>
    <w:autoRedefine/>
    <w:qFormat/>
    <w:uiPriority w:val="0"/>
    <w:rPr>
      <w:color w:val="800080"/>
      <w:u w:val="single"/>
    </w:rPr>
  </w:style>
  <w:style w:type="character" w:styleId="8">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2024-06-24T03:32:00Z</dcterms:created>
  <dc:creator>Administrator</dc:creator>
  <cp:lastModifiedBy>Administrator</cp:lastModifiedBy>
  <dcterms:modified xsi:type="dcterms:W3CDTF">2024-08-16T14:55:32Z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F13D103E0C844FF38BEC4A6504B34E42_11</vt:lpwstr>
  </property>
</Properties>
</file>