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 w14:paraId="6ACB6403">
      <w:pPr>
        <w:pBdr>
          <w:bottom w:val="single" w:color="auto" w:sz="4" w:space="0"/>
        </w:pBdr>
        <w:bidi w:val="0"/>
        <w:rPr>
          <w:rFonts w:hint="eastAsia"/>
          <w:b/>
          <w:bCs/>
          <w:color w:val="auto"/>
          <w:sz w:val="52"/>
          <w:szCs w:val="52"/>
          <w:lang w:val="en-US" w:eastAsia="zh-CN"/>
        </w:rPr>
      </w:pPr>
      <w:r>
        <w:rPr>
          <w:rFonts w:hint="eastAsia"/>
          <w:b/>
          <w:bCs/>
          <w:color w:val="auto"/>
          <w:sz w:val="52"/>
          <w:szCs w:val="52"/>
          <w:lang w:val="en-US" w:eastAsia="zh-CN"/>
        </w:rPr>
        <w:t>因九云图无法下载文字版，如需转载，可发邮件到jgsgx1966@outlook.com免费获取word版</w:t>
      </w:r>
    </w:p>
    <w:p w14:paraId="14CC95DA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0" w:afterAutospacing="0"/>
        <w:ind w:left="0" w:right="0" w:firstLine="0"/>
        <w:jc w:val="both"/>
        <w:textAlignment w:val="auto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52"/>
          <w:szCs w:val="5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spacing w:val="0"/>
          <w:kern w:val="0"/>
          <w:sz w:val="52"/>
          <w:szCs w:val="52"/>
          <w:fitText w:val="1560" w:id="90115335"/>
          <w:lang w:val="en-US" w:eastAsia="zh-CN" w:bidi="ar-SA"/>
        </w:rPr>
        <w:t>公众号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52"/>
          <w:szCs w:val="52"/>
          <w:lang w:val="en-US" w:eastAsia="zh-CN" w:bidi="ar-SA"/>
        </w:rPr>
        <w:t>：井冈山观心1927</w:t>
      </w:r>
    </w:p>
    <w:p w14:paraId="5795D65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both"/>
        <w:textAlignment w:val="auto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52"/>
          <w:szCs w:val="5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spacing w:val="260"/>
          <w:kern w:val="0"/>
          <w:sz w:val="52"/>
          <w:szCs w:val="52"/>
          <w:fitText w:val="1560" w:id="432099664"/>
          <w:lang w:val="en-US" w:eastAsia="zh-CN" w:bidi="ar-SA"/>
        </w:rPr>
        <w:t>微</w:t>
      </w:r>
      <w:r>
        <w:rPr>
          <w:rFonts w:hint="eastAsia" w:asciiTheme="minorHAnsi" w:hAnsiTheme="minorHAnsi" w:eastAsiaTheme="minorEastAsia" w:cstheme="minorBidi"/>
          <w:b/>
          <w:bCs/>
          <w:color w:val="auto"/>
          <w:spacing w:val="0"/>
          <w:kern w:val="0"/>
          <w:sz w:val="52"/>
          <w:szCs w:val="52"/>
          <w:fitText w:val="1560" w:id="432099664"/>
          <w:lang w:val="en-US" w:eastAsia="zh-CN" w:bidi="ar-SA"/>
        </w:rPr>
        <w:t>博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52"/>
          <w:szCs w:val="52"/>
          <w:lang w:val="en-US" w:eastAsia="zh-CN" w:bidi="ar-SA"/>
        </w:rPr>
        <w:t>：井冈山观心1966</w:t>
      </w:r>
    </w:p>
    <w:p w14:paraId="6FCD3A5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both"/>
        <w:textAlignment w:val="auto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52"/>
          <w:szCs w:val="5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spacing w:val="260"/>
          <w:kern w:val="0"/>
          <w:sz w:val="52"/>
          <w:szCs w:val="52"/>
          <w:fitText w:val="1560" w:id="821172751"/>
          <w:lang w:val="en-US" w:eastAsia="zh-CN" w:bidi="ar-SA"/>
        </w:rPr>
        <w:t>知</w:t>
      </w:r>
      <w:r>
        <w:rPr>
          <w:rFonts w:hint="eastAsia" w:asciiTheme="minorHAnsi" w:hAnsiTheme="minorHAnsi" w:eastAsiaTheme="minorEastAsia" w:cstheme="minorBidi"/>
          <w:b/>
          <w:bCs/>
          <w:color w:val="auto"/>
          <w:spacing w:val="0"/>
          <w:kern w:val="0"/>
          <w:sz w:val="52"/>
          <w:szCs w:val="52"/>
          <w:fitText w:val="1560" w:id="821172751"/>
          <w:lang w:val="en-US" w:eastAsia="zh-CN" w:bidi="ar-SA"/>
        </w:rPr>
        <w:t>乎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52"/>
          <w:szCs w:val="52"/>
          <w:lang w:val="en-US" w:eastAsia="zh-CN" w:bidi="ar-SA"/>
        </w:rPr>
        <w:t>：井冈山观心</w:t>
      </w:r>
    </w:p>
    <w:p w14:paraId="3BA117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52"/>
          <w:szCs w:val="5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spacing w:val="0"/>
          <w:kern w:val="0"/>
          <w:sz w:val="52"/>
          <w:szCs w:val="52"/>
          <w:fitText w:val="1560" w:id="1337095894"/>
          <w:lang w:val="en-US" w:eastAsia="zh-CN" w:bidi="ar-SA"/>
        </w:rPr>
        <w:t>小红书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52"/>
          <w:szCs w:val="52"/>
          <w:lang w:val="en-US" w:eastAsia="zh-CN" w:bidi="ar-SA"/>
        </w:rPr>
        <w:t>：井冈山观心</w:t>
      </w:r>
    </w:p>
    <w:p w14:paraId="20664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72"/>
          <w:szCs w:val="72"/>
          <w:lang w:val="en-US" w:eastAsia="zh-CN"/>
        </w:rPr>
        <w:t>某老胡主编欢呼“不提公有制为主体”而停更，他冤不冤？</w:t>
      </w:r>
    </w:p>
    <w:p w14:paraId="3B488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某老胡主编因为某公告没有提“公有制为主体”而欢呼雀跃，奔走相告，并发表了一篇文章《XX取消“公有制为主体”的表述，是历史性变化》。其狂喜之情，毫不掩饰，溢于整个网络平台，简直就是狂欢。</w:t>
      </w:r>
    </w:p>
    <w:p w14:paraId="052F6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几天后，该主编的所有平台账号停更。</w:t>
      </w:r>
    </w:p>
    <w:p w14:paraId="3B08D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他接受某报采访时说：“我个人不想说什么，您看网上的东西就行了，请理解。”</w:t>
      </w:r>
    </w:p>
    <w:p w14:paraId="414B5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期间，某权威媒体发文以正视听。</w:t>
      </w:r>
    </w:p>
    <w:p w14:paraId="2FCDE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该主编是否因为上述欢呼雀跃而停更，是否被禁言，我们不得而知。</w:t>
      </w:r>
    </w:p>
    <w:p w14:paraId="0E04F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有的网友以及网站猛烈批判该主编，认为他歪曲了某公告。</w:t>
      </w:r>
    </w:p>
    <w:p w14:paraId="485C2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该主编是否歪曲了某公告呢？他停更的原因否冤枉呢？</w:t>
      </w:r>
    </w:p>
    <w:p w14:paraId="67663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我们先看看“主体”的解释。</w:t>
      </w:r>
    </w:p>
    <w:p w14:paraId="2F52B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根据百度百科：</w:t>
      </w:r>
    </w:p>
    <w:p w14:paraId="03566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意思是指事物的主要部分。</w:t>
      </w:r>
    </w:p>
    <w:p w14:paraId="29E07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主要部分，就是要超过其他部分，要在各元素中占据第一的位置。</w:t>
      </w:r>
    </w:p>
    <w:p w14:paraId="42ECD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如果该主编欢呼的是事实，确实不占主体，那他说的就是事实，停更就很冤；</w:t>
      </w:r>
    </w:p>
    <w:p w14:paraId="4AD2F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如果他欢呼的不是事实，确实占据主体，那他说的就不是事实而是造谣，停更的原因就不冤。</w:t>
      </w:r>
    </w:p>
    <w:p w14:paraId="2D344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我们还是数据说话。</w:t>
      </w:r>
    </w:p>
    <w:p w14:paraId="059E2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数据来源《中国统计年鉴》（历年）、《建国三十年国民经济统计提要》（国家统计局）</w:t>
      </w:r>
    </w:p>
    <w:p w14:paraId="6E76DA31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一、改开前后数据对比</w:t>
      </w:r>
    </w:p>
    <w:p w14:paraId="40DE5982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1、工业产值中各种经济成分变化：</w:t>
      </w:r>
    </w:p>
    <w:p w14:paraId="55FE2FDB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drawing>
          <wp:inline distT="0" distB="0" distL="114300" distR="114300">
            <wp:extent cx="2679065" cy="10064750"/>
            <wp:effectExtent l="0" t="0" r="3175" b="8890"/>
            <wp:docPr id="29" name="图片 29" descr="7aef96eebaf04f7b771a02e4f6335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7aef96eebaf04f7b771a02e4f6335d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9065" cy="1006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A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可以看到，工业总产值（营业收入）2022年的国有、私营占比正好与1949年一致。</w:t>
      </w:r>
    </w:p>
    <w:p w14:paraId="34031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国有占比由三大改造之前的28%，经过改造变为三大改造后的99%，再经过中国特色社会主义时期变回28%。</w:t>
      </w:r>
    </w:p>
    <w:p w14:paraId="0D44B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私营占比由三大改造之前的71%，经过改造变为三大改造后的0.9%，再经过中国特色社会主义时期变回71%。</w:t>
      </w:r>
    </w:p>
    <w:p w14:paraId="5AE47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就是说，中国特色社会主义时期与三大改造之前的比例一致。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也可以说，一夜回到解放前。</w:t>
      </w:r>
    </w:p>
    <w:p w14:paraId="2B0AB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作图更直观，红色折线为国有（控股），蓝色折线为私营：</w:t>
      </w:r>
    </w:p>
    <w:p w14:paraId="78EA7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drawing>
          <wp:inline distT="0" distB="0" distL="114300" distR="114300">
            <wp:extent cx="6172200" cy="4191000"/>
            <wp:effectExtent l="0" t="0" r="0" b="0"/>
            <wp:docPr id="9" name="图片 9" descr="d4eb4055001b144fd7bc56edafe1a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4eb4055001b144fd7bc56edafe1af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C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2、国有（控股）、私营职工人数对比，红色折线为国有，蓝色折线为私营：</w:t>
      </w:r>
    </w:p>
    <w:p w14:paraId="65589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eastAsia="zh-CN"/>
        </w:rPr>
        <w:drawing>
          <wp:inline distT="0" distB="0" distL="114300" distR="114300">
            <wp:extent cx="4907280" cy="3909060"/>
            <wp:effectExtent l="0" t="0" r="0" b="7620"/>
            <wp:docPr id="10" name="图片 10" descr="07edba90035f6e95f3046b144b3c1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7edba90035f6e95f3046b144b3c1b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B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</w:rPr>
      </w:pPr>
    </w:p>
    <w:p w14:paraId="544A5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</w:rPr>
        <w:drawing>
          <wp:inline distT="0" distB="0" distL="114300" distR="114300">
            <wp:extent cx="5272405" cy="3374390"/>
            <wp:effectExtent l="0" t="0" r="635" b="889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F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3、工业固定资产</w:t>
      </w:r>
    </w:p>
    <w:p w14:paraId="33819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1975年4月1日《人民日报》第1版《论对资产阶级的全面专政》：</w:t>
      </w:r>
    </w:p>
    <w:p w14:paraId="030C4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看一看一九七三年各种经济成份在我国工、农、商业中的比重。</w:t>
      </w:r>
    </w:p>
    <w:p w14:paraId="5C738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先说工业。全民所有制工业占全部工业固定资产的百分之九十七，工业人数的百分之六十三，工业总产值的百分之八十六。集体所有制工业占固定资产的百分之三，人数的百分之三十六点二，总产值的百分之十四。此外，还有人数占百分之零点八的个体手工业。</w:t>
      </w:r>
    </w:p>
    <w:p w14:paraId="687C7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再说农业。在农业生产资料中，耕地、排灌机械的百分之九十左右，拖拉机、大牲畜的百分之八十左右是集体所有的。全民所有制的比重很小。因此，全国的粮食和各种经济作物，百分之九十以上是集体经济生产的。国营农场所占比重很小。此外，还保留着少量的社员自留地和家庭副业。</w:t>
      </w:r>
    </w:p>
    <w:p w14:paraId="5E3D9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再说商业。国营商业占商品零售总额的百分之九十二点五，集体所有制商业占百分之七点三，个体商贩占百分之零点二。此外，在农村还保留着相当数量的集市贸易。</w:t>
      </w:r>
    </w:p>
    <w:p w14:paraId="6598C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笔者根据《中国统计年鉴》（历年）、《建国三十年国民经济统计提要》（国家统计局）整理了1973年，1998年-2022年工业企业固定资产数据，1974年-1997年数据没有找到。</w:t>
      </w:r>
    </w:p>
    <w:p w14:paraId="74622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</w:rPr>
        <w:drawing>
          <wp:inline distT="0" distB="0" distL="114300" distR="114300">
            <wp:extent cx="5267325" cy="10112375"/>
            <wp:effectExtent l="0" t="0" r="5715" b="698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11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B2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可以看到，国有（控股）工业企业固定资产占比从改开后持续下降，从改开前的100%下降到2022年的37.72%。</w:t>
      </w:r>
    </w:p>
    <w:p w14:paraId="344AB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作图如下：</w:t>
      </w:r>
    </w:p>
    <w:p w14:paraId="54A08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783580" cy="3771900"/>
            <wp:effectExtent l="0" t="0" r="7620" b="7620"/>
            <wp:docPr id="26" name="图片 26" descr="48b057d311b155459d2f5bafd6ef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48b057d311b155459d2f5bafd6efe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1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二、2022年数据</w:t>
      </w:r>
    </w:p>
    <w:p w14:paraId="3AF38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根据中国政府网（https://www.gov.cn）2022年7月8日转载《经济日报》报道《过去10年数量翻两番，社会贡献不断增大——民营经济创新创造活力迸发》：</w:t>
      </w:r>
    </w:p>
    <w:p w14:paraId="4C68C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</w:rPr>
        <w:t>我国民营经济贡献了50%以上的税收、60%以上的国内生产总值、70%以上的技术创新成果、80%以上的城镇劳动就业、90%以上的企业数量，未来必将持续发展壮大。</w:t>
      </w:r>
    </w:p>
    <w:p w14:paraId="4E951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instrText xml:space="preserve"> HYPERLINK "https://www.gov.cn/xinwen/2022-07/08/content_5699854.htm"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https://www.gov.cn/xinwen/2022-07/08/content_5699854.htm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fldChar w:fldCharType="end"/>
      </w:r>
    </w:p>
    <w:p w14:paraId="4DAE1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6055" cy="2285365"/>
            <wp:effectExtent l="0" t="0" r="6985" b="635"/>
            <wp:docPr id="1" name="图片 1" descr="1afbd1c766fe3f113159b84c7772f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afbd1c766fe3f113159b84c7772f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5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8595" cy="1181100"/>
            <wp:effectExtent l="0" t="0" r="4445" b="7620"/>
            <wp:docPr id="2" name="图片 2" descr="f7f6d0cfcdfbaad95bac9fb77d70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7f6d0cfcdfbaad95bac9fb77d708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0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笔者根据国家统计局的数据，进行了整理。</w:t>
      </w:r>
    </w:p>
    <w:p w14:paraId="5ECF5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1、各类企业法人单位数量</w:t>
      </w:r>
    </w:p>
    <w:p w14:paraId="64772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2537460"/>
            <wp:effectExtent l="0" t="0" r="0" b="7620"/>
            <wp:docPr id="4" name="图片 4" descr="3-企业数量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-企业数量-表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9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从表中可以看到，国有控股企业占比1.1%，集体控股占比0.6%，二者之和为1.7%。</w:t>
      </w:r>
    </w:p>
    <w:p w14:paraId="5DE72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私人控股企业占比为95.93%。</w:t>
      </w:r>
    </w:p>
    <w:p w14:paraId="110A6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为直观起见，作图如下（蓝色为国有控股，橘色为集体控股，灰色为私人控股）：</w:t>
      </w:r>
    </w:p>
    <w:p w14:paraId="25034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9230" cy="3380105"/>
            <wp:effectExtent l="0" t="0" r="3810" b="3175"/>
            <wp:docPr id="3" name="图片 3" descr="4-企业数量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-企业数量-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0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2、国有控股、非国有控股工业企业总资产</w:t>
      </w:r>
    </w:p>
    <w:p w14:paraId="2F2B8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1770" cy="1546225"/>
            <wp:effectExtent l="0" t="0" r="1270" b="8255"/>
            <wp:docPr id="6" name="图片 6" descr="5-工业企业资产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-工业企业资产-表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3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从表中可以看到，国有控股工业企业总资产为60.42万亿元，占比为37.72%；非国有控股工业企业总资产为99.78万亿元，占比为62.28%。</w:t>
      </w:r>
    </w:p>
    <w:p w14:paraId="0E799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作图如下（蓝色为国有控股工业企业，灰色为非国有控股工业企业）：</w:t>
      </w:r>
    </w:p>
    <w:p w14:paraId="58CC4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9230" cy="3983990"/>
            <wp:effectExtent l="0" t="0" r="3810" b="8890"/>
            <wp:docPr id="25" name="图片 25" descr="6-工业企业资产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6-工业企业资产-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8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本数据只计算了工业企业资产，金融资产未计入。如果将金融资产计入，国有控股应该在60%以上。</w:t>
      </w:r>
    </w:p>
    <w:p w14:paraId="7096468E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根据《财经杂志》2022年发表在搜狐的文章《国有、民营、外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资经济发展十年变局》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（作者为大成企业研究院副院长陈永杰）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：</w:t>
      </w:r>
    </w:p>
    <w:p w14:paraId="24926538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（https://www.sohu.com/a/539076064_115571）</w:t>
      </w:r>
    </w:p>
    <w:p w14:paraId="3E10005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全国非金融类企业的经营性资产（537.8万亿元）和金融类企业经营性资产（321.8万亿元）两项资产总额为859.6万亿元，其中国有控股企业的非金融类资产（219.8万亿元）和金融类资产（264.3万亿元）两项资产总额为484.1万亿元，占全国非金融和金融类企业资产总额的56.3%。</w:t>
      </w:r>
    </w:p>
    <w:p w14:paraId="6E62258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近两年，国有企业资产总额的增长十分迅速，占比明显上升（见表2）。2020年，全国非金融类国有企业资产为268.5万亿元，比2018年增长了58万亿元，增幅达27.6%；金融类资产增长了23%；两类资产总共增长了24.7%，其增长幅度远高于民营企业和外资企业资产的增幅。可以判断，国有企业占全国企业经营性资产的比重已经超过60%。</w:t>
      </w:r>
    </w:p>
    <w:p w14:paraId="11E1D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3、全社会固定资产投资</w:t>
      </w:r>
    </w:p>
    <w:p w14:paraId="31399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2405" cy="1651000"/>
            <wp:effectExtent l="0" t="0" r="635" b="10160"/>
            <wp:docPr id="11" name="图片 11" descr="7-固定资产投资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-固定资产投资-表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C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从表中可以看到，社会固定资产投资中，民间投资占比53.74%，非民间投资占比46.53%。</w:t>
      </w:r>
    </w:p>
    <w:p w14:paraId="4D483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制图如下（蓝色为非民间固定资产投资，灰色为民间固定资产投资）：</w:t>
      </w:r>
    </w:p>
    <w:p w14:paraId="21F57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3763645"/>
            <wp:effectExtent l="0" t="0" r="0" b="635"/>
            <wp:docPr id="12" name="图片 12" descr="8-固定资产投资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-固定资产投资-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1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4、规模以上工业企业营业收入</w:t>
      </w:r>
    </w:p>
    <w:p w14:paraId="08A68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小知识：1998年，国家统计局将工业统计范围划分为规模以上和规模以下两部分。“规模以上工业企业”，1998-2006年，是指全部国有和年主营业务收入500万元及以上的非国有工业法人单位；2007-2010年，统计范围调整为年主营业务收入500万元及以上的工业法人单位；2011年开始至今，统计范围为年主营业务收入2000万元及以上的工业法人单位。</w:t>
      </w:r>
    </w:p>
    <w:p w14:paraId="38AC0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1770" cy="1689735"/>
            <wp:effectExtent l="0" t="0" r="1270" b="1905"/>
            <wp:docPr id="14" name="图片 14" descr="9-营业收入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-营业收入-表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2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从表中可以看到，规模以上工业企业营业收入，国有控股占比28.17%，非国有控股占比71.83%。</w:t>
      </w:r>
    </w:p>
    <w:p w14:paraId="66F7B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众所周知，规模以下工业企业以民营企业为绝对主体，如果将规模以下工业企业营业收入也计算在内，国有控股工业企业占比会更低。</w:t>
      </w:r>
    </w:p>
    <w:p w14:paraId="5AEC7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作图如下（蓝色为国有控股规模以上工业企业，灰色为非国有控股规模以上工业企业）：</w:t>
      </w:r>
    </w:p>
    <w:p w14:paraId="3BD27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675" cy="3401060"/>
            <wp:effectExtent l="0" t="0" r="14605" b="12700"/>
            <wp:docPr id="15" name="图片 15" descr="9-营业收入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-营业收入-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5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5、规模以上工业企业利润总额</w:t>
      </w:r>
    </w:p>
    <w:p w14:paraId="314FD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1527175"/>
            <wp:effectExtent l="0" t="0" r="0" b="12065"/>
            <wp:docPr id="17" name="图片 17" descr="10-利润总额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0-利润总额-表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A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从表中可以看到，规模以上工业企业利润总额，国有控股占比28.99%，非国有控股占比71.01%。</w:t>
      </w:r>
    </w:p>
    <w:p w14:paraId="70322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作图如下（蓝色为国有控股规模以上工业企业，灰色为非国有控股规模以上工业企业）：</w:t>
      </w:r>
    </w:p>
    <w:p w14:paraId="0DDED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8595" cy="3300095"/>
            <wp:effectExtent l="0" t="0" r="4445" b="6985"/>
            <wp:docPr id="16" name="图片 16" descr="10-利润总额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0-利润总额-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6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6、就业人口</w:t>
      </w:r>
    </w:p>
    <w:p w14:paraId="77644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根据文章开头中国政府网引用经济日报的数据，“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</w:rPr>
        <w:t>我国民营经济贡献了80%以上的城镇劳动就业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”，也就是说，国有控股企业贡献了城镇劳动就业20%以下。</w:t>
      </w:r>
    </w:p>
    <w:p w14:paraId="644F7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众所周知，乡村就业基本上都是民营或者个体户，竟有2.7亿人之多。如果将乡村就业计算在内，国有控股企业对劳动就业贡献会更低。</w:t>
      </w:r>
    </w:p>
    <w:p w14:paraId="15419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笔者截图了根据统计局就业情况数据：</w:t>
      </w:r>
    </w:p>
    <w:p w14:paraId="3258E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8595" cy="3039745"/>
            <wp:effectExtent l="0" t="0" r="4445" b="8255"/>
            <wp:docPr id="18" name="图片 18" descr="11-就业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1-就业-表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B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从表中可以看到，乡村就业人员2.74亿人。这部分绝大部分就业都不是国有控股企业解决的。</w:t>
      </w:r>
    </w:p>
    <w:p w14:paraId="3450D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三、2020年数据</w:t>
      </w:r>
    </w:p>
    <w:p w14:paraId="27D27F84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《国有、民营、外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资经济发展十年变局》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（作者为大成企业研究院副院长陈永杰）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：</w:t>
      </w:r>
    </w:p>
    <w:p w14:paraId="12D79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6690" cy="2696845"/>
            <wp:effectExtent l="0" t="0" r="6350" b="635"/>
            <wp:docPr id="22" name="图片 22" descr="11-就业-表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1-就业-表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5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从表中可以看到，2022年城镇就业数据，国有控股就业占比为12.02%，外商与港澳台商控股就业占比为12.02%，民营就业占比为82.84%。</w:t>
      </w:r>
    </w:p>
    <w:p w14:paraId="045E3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作图如下（蓝色为国有控股，灰色为民营，橙黄色为涉外）：</w:t>
      </w:r>
    </w:p>
    <w:p w14:paraId="1B961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3230880"/>
            <wp:effectExtent l="0" t="0" r="0" b="0"/>
            <wp:docPr id="21" name="图片 21" descr="11-就业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1-就业-图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6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7、GDP</w:t>
      </w:r>
    </w:p>
    <w:p w14:paraId="65F71BAF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根据中国政府网引用经济日报的数据，“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我国民营经济贡献了......60%以上的国内生产总值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”，也就是说，国有控股企业对GDP贡献为40%以下。</w:t>
      </w:r>
    </w:p>
    <w:p w14:paraId="011C9455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根据《国有、民营、外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资经济发展十年变局》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（作者为大成企业研究院副院长陈永杰）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：</w:t>
      </w:r>
    </w:p>
    <w:p w14:paraId="0F89375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国有经济创造的GDP占比由十年前的50%左右，下降为大约30%；民营经济占比由十年前的不足40%，上升为大约60%多；外资经济占比由十年前的15%左右，下降为近10%。</w:t>
      </w:r>
    </w:p>
    <w:p w14:paraId="4DDC1D09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8、税收</w:t>
      </w:r>
    </w:p>
    <w:p w14:paraId="66D40A8B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根据中国政府网引用经济日报的数据，“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我国民营经济贡献了50%以上的税收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”，也就是说，国有控股企业贡献的税收在50%以下。</w:t>
      </w:r>
    </w:p>
    <w:p w14:paraId="46C65452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根据《国有、民营、外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资经济发展十年变局》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（作者为大成企业研究院副院长陈永杰）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：</w:t>
      </w:r>
    </w:p>
    <w:p w14:paraId="46B65542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6690" cy="2038350"/>
            <wp:effectExtent l="0" t="0" r="6350" b="3810"/>
            <wp:docPr id="19" name="图片 19" descr="12-税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2-税收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478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从上表可以看到，2021年民营企业税收占比为59.6%。从2010年的48%占比发展到2021年的59.6%。</w:t>
      </w:r>
    </w:p>
    <w:p w14:paraId="050F9B29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作图如下（蓝色为国有控股，灰色为民营，橙黄色为涉外）：</w:t>
      </w:r>
    </w:p>
    <w:p w14:paraId="6920653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0500" cy="3518535"/>
            <wp:effectExtent l="0" t="0" r="2540" b="1905"/>
            <wp:docPr id="23" name="图片 23" descr="12-税收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2-税收-图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A864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9、进出口</w:t>
      </w:r>
    </w:p>
    <w:p w14:paraId="6B0C5C3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根据《国有、民营、外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资经济发展十年变局》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（作者为大成企业研究院副院长陈永杰）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：</w:t>
      </w:r>
    </w:p>
    <w:p w14:paraId="67C4B7E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6690" cy="2043430"/>
            <wp:effectExtent l="0" t="0" r="6350" b="13970"/>
            <wp:docPr id="20" name="图片 20" descr="13-进出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3-进出口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F6EA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从表中可以看到，2021年进出口数据，国有控股进出口占比为15.2%，外商和港澳台商控股为35.9%，民营占比为48.9</w:t>
      </w:r>
    </w:p>
    <w:p w14:paraId="3D47CF54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作图如下（蓝色为国有控股，灰色为民营，橙黄色为涉外）：</w:t>
      </w:r>
    </w:p>
    <w:p w14:paraId="162B7901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675" cy="3149600"/>
            <wp:effectExtent l="0" t="0" r="14605" b="5080"/>
            <wp:docPr id="24" name="图片 24" descr="13-进出口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3-进出口-图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1165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根据上述数据，谁是经济主体，相信读者会有自己的判断。</w:t>
      </w:r>
    </w:p>
    <w:p w14:paraId="0E063290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某老胡主编到底冤不冤，相信读者会有自己的判断。</w:t>
      </w:r>
    </w:p>
    <w:sectPr>
      <w:pgSz w:w="11906" w:h="16838"/>
      <w:pgMar w:top="454" w:right="567" w:bottom="45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0E8B7FD3"/>
    <w:rsid w:val="0E8B7FD3"/>
    <w:rsid w:val="0FEF7884"/>
    <w:rsid w:val="109B6E17"/>
    <w:rsid w:val="11576693"/>
    <w:rsid w:val="14177FB7"/>
    <w:rsid w:val="1F2B3DF2"/>
    <w:rsid w:val="22431452"/>
    <w:rsid w:val="27526996"/>
    <w:rsid w:val="3CE7450A"/>
    <w:rsid w:val="44A51DD9"/>
    <w:rsid w:val="48F8683C"/>
    <w:rsid w:val="543F5C76"/>
    <w:rsid w:val="59117C8C"/>
    <w:rsid w:val="6AE663EC"/>
    <w:rsid w:val="70522825"/>
    <w:rsid w:val="72CF5952"/>
    <w:rsid w:val="7DBA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autoRedefine/>
    <w:qFormat/>
    <w:uiPriority w:val="0"/>
    <w:rPr>
      <w:b/>
    </w:rPr>
  </w:style>
  <w:style w:type="character" w:styleId="7">
    <w:name w:val="FollowedHyperlink"/>
    <w:basedOn w:val="5"/>
    <w:autoRedefine/>
    <w:qFormat/>
    <w:uiPriority w:val="0"/>
    <w:rPr>
      <w:color w:val="800080"/>
      <w:u w:val="single"/>
    </w:rPr>
  </w:style>
  <w:style w:type="character" w:styleId="8">
    <w:name w:val="Emphasis"/>
    <w:basedOn w:val="5"/>
    <w:autoRedefine/>
    <w:qFormat/>
    <w:uiPriority w:val="0"/>
    <w:rPr>
      <w:i/>
    </w:rPr>
  </w:style>
  <w:style w:type="character" w:styleId="9">
    <w:name w:val="Hyperlink"/>
    <w:basedOn w:val="5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2878</Words>
  <Characters>3290</Characters>
  <Lines>1</Lines>
  <Paragraphs>1</Paragraphs>
  <TotalTime>14</TotalTime>
  <ScaleCrop>false</ScaleCrop>
  <LinksUpToDate>false</LinksUpToDate>
  <CharactersWithSpaces>3290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2024-08-12T15:20:00Z</dcterms:created>
  <dc:creator>Administrator</dc:creator>
  <cp:lastModifiedBy>Administrator</cp:lastModifiedBy>
  <dcterms:modified xsi:type="dcterms:W3CDTF">2026-02-07T12:50:57Z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05D027B4AA7F43A4A14D3BCD8FA1BE76_11</vt:lpwstr>
  </property>
</Properties>
</file>