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D2F82">
      <w:pPr>
        <w:keepNext w:val="0"/>
        <w:keepLines w:val="0"/>
        <w:pageBreakBefore w:val="0"/>
        <w:widowControl/>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另一只眼：看兰州银行与一商户的房屋租金纠纷</w:t>
      </w:r>
    </w:p>
    <w:p w14:paraId="15E42417">
      <w:pPr>
        <w:keepNext w:val="0"/>
        <w:keepLines w:val="0"/>
        <w:pageBreakBefore w:val="0"/>
        <w:widowControl/>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兰州银行与一位承租房屋</w:t>
      </w:r>
      <w:bookmarkStart w:id="0" w:name="_GoBack"/>
      <w:r>
        <w:rPr>
          <w:rFonts w:hint="eastAsia"/>
          <w:sz w:val="25"/>
          <w:szCs w:val="25"/>
          <w:lang w:val="en-US" w:eastAsia="zh-CN"/>
        </w:rPr>
        <w:t>的</w:t>
      </w:r>
      <w:bookmarkEnd w:id="0"/>
      <w:r>
        <w:rPr>
          <w:rFonts w:hint="eastAsia"/>
          <w:sz w:val="25"/>
          <w:szCs w:val="25"/>
          <w:lang w:val="en-US" w:eastAsia="zh-CN"/>
        </w:rPr>
        <w:t>商铺个体户产生了租金纠纷，已经进入了法院开庭审理阶段，笔者对诉讼本身不做任何评论。</w:t>
      </w:r>
    </w:p>
    <w:p w14:paraId="1849B7E0">
      <w:pPr>
        <w:keepNext w:val="0"/>
        <w:keepLines w:val="0"/>
        <w:pageBreakBefore w:val="0"/>
        <w:widowControl/>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推荐阅读：</w:t>
      </w:r>
    </w:p>
    <w:p w14:paraId="497FD112">
      <w:pPr>
        <w:keepNext w:val="0"/>
        <w:keepLines w:val="0"/>
        <w:pageBreakBefore w:val="0"/>
        <w:widowControl/>
        <w:kinsoku/>
        <w:wordWrap/>
        <w:overflowPunct/>
        <w:topLinePunct w:val="0"/>
        <w:autoSpaceDE/>
        <w:autoSpaceDN/>
        <w:bidi w:val="0"/>
        <w:adjustRightInd/>
        <w:snapToGrid/>
        <w:spacing w:before="313" w:beforeLines="100" w:after="313" w:afterLines="100"/>
        <w:textAlignment w:val="auto"/>
        <w:rPr>
          <w:rFonts w:hint="default" w:ascii="Helvetica" w:hAnsi="Helvetica" w:eastAsia="Helvetica" w:cs="Helvetica"/>
          <w:sz w:val="25"/>
          <w:szCs w:val="25"/>
        </w:rPr>
      </w:pPr>
      <w:r>
        <w:rPr>
          <w:rFonts w:ascii="Helvetica" w:hAnsi="Helvetica" w:eastAsia="Helvetica" w:cs="Helvetica"/>
          <w:sz w:val="25"/>
          <w:szCs w:val="25"/>
        </w:rPr>
        <w:fldChar w:fldCharType="begin"/>
      </w:r>
      <w:r>
        <w:rPr>
          <w:rFonts w:ascii="Helvetica" w:hAnsi="Helvetica" w:eastAsia="Helvetica" w:cs="Helvetica"/>
          <w:sz w:val="25"/>
          <w:szCs w:val="25"/>
        </w:rPr>
        <w:instrText xml:space="preserve"> HYPERLINK "https://mp.weixin.qq.com/s/c9PsMol0GnOSLLl1_G1U3A" \t "_blank" </w:instrText>
      </w:r>
      <w:r>
        <w:rPr>
          <w:rFonts w:ascii="Helvetica" w:hAnsi="Helvetica" w:eastAsia="Helvetica" w:cs="Helvetica"/>
          <w:sz w:val="25"/>
          <w:szCs w:val="25"/>
        </w:rPr>
        <w:fldChar w:fldCharType="separate"/>
      </w:r>
      <w:r>
        <w:rPr>
          <w:rStyle w:val="8"/>
          <w:rFonts w:hint="default" w:ascii="Helvetica" w:hAnsi="Helvetica" w:eastAsia="Helvetica" w:cs="Helvetica"/>
          <w:sz w:val="25"/>
          <w:szCs w:val="25"/>
        </w:rPr>
        <w:t>一切为了利润：兰州银行与电商平台甘肃百合e家的擦边</w:t>
      </w:r>
      <w:r>
        <w:rPr>
          <w:rFonts w:hint="default" w:ascii="Helvetica" w:hAnsi="Helvetica" w:eastAsia="Helvetica" w:cs="Helvetica"/>
          <w:sz w:val="25"/>
          <w:szCs w:val="25"/>
        </w:rPr>
        <w:fldChar w:fldCharType="end"/>
      </w:r>
    </w:p>
    <w:p w14:paraId="001AFEE7">
      <w:pPr>
        <w:keepNext w:val="0"/>
        <w:keepLines w:val="0"/>
        <w:pageBreakBefore w:val="0"/>
        <w:widowControl/>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这里有一个细节，疫情期间，国家发展改革委</w:t>
      </w:r>
      <w:r>
        <w:rPr>
          <w:rFonts w:hint="eastAsia"/>
          <w:sz w:val="25"/>
          <w:szCs w:val="25"/>
          <w:lang w:val="en-US" w:eastAsia="zh-CN"/>
        </w:rPr>
        <w:t>、</w:t>
      </w:r>
      <w:r>
        <w:rPr>
          <w:rFonts w:hint="eastAsia"/>
          <w:sz w:val="25"/>
          <w:szCs w:val="25"/>
          <w:lang w:val="en-US" w:eastAsia="zh-CN"/>
        </w:rPr>
        <w:t>住房城乡建设部</w:t>
      </w:r>
      <w:r>
        <w:rPr>
          <w:rFonts w:hint="eastAsia"/>
          <w:sz w:val="25"/>
          <w:szCs w:val="25"/>
          <w:lang w:val="en-US" w:eastAsia="zh-CN"/>
        </w:rPr>
        <w:t>、</w:t>
      </w:r>
      <w:r>
        <w:rPr>
          <w:rFonts w:hint="eastAsia"/>
          <w:sz w:val="25"/>
          <w:szCs w:val="25"/>
          <w:lang w:val="en-US" w:eastAsia="zh-CN"/>
        </w:rPr>
        <w:t>财政部</w:t>
      </w:r>
      <w:r>
        <w:rPr>
          <w:rFonts w:hint="eastAsia"/>
          <w:sz w:val="25"/>
          <w:szCs w:val="25"/>
          <w:lang w:val="en-US" w:eastAsia="zh-CN"/>
        </w:rPr>
        <w:t>、</w:t>
      </w:r>
      <w:r>
        <w:rPr>
          <w:rFonts w:hint="eastAsia"/>
          <w:sz w:val="25"/>
          <w:szCs w:val="25"/>
          <w:lang w:val="en-US" w:eastAsia="zh-CN"/>
        </w:rPr>
        <w:t>商务部</w:t>
      </w:r>
      <w:r>
        <w:rPr>
          <w:rFonts w:hint="eastAsia"/>
          <w:sz w:val="25"/>
          <w:szCs w:val="25"/>
          <w:lang w:val="en-US" w:eastAsia="zh-CN"/>
        </w:rPr>
        <w:t>、</w:t>
      </w:r>
      <w:r>
        <w:rPr>
          <w:rFonts w:hint="eastAsia"/>
          <w:sz w:val="25"/>
          <w:szCs w:val="25"/>
          <w:lang w:val="en-US" w:eastAsia="zh-CN"/>
        </w:rPr>
        <w:t>人民银行</w:t>
      </w:r>
      <w:r>
        <w:rPr>
          <w:rFonts w:hint="eastAsia"/>
          <w:sz w:val="25"/>
          <w:szCs w:val="25"/>
          <w:lang w:val="en-US" w:eastAsia="zh-CN"/>
        </w:rPr>
        <w:t>、</w:t>
      </w:r>
      <w:r>
        <w:rPr>
          <w:rFonts w:hint="eastAsia"/>
          <w:sz w:val="25"/>
          <w:szCs w:val="25"/>
          <w:lang w:val="en-US" w:eastAsia="zh-CN"/>
        </w:rPr>
        <w:t>国资委</w:t>
      </w:r>
      <w:r>
        <w:rPr>
          <w:rFonts w:hint="eastAsia"/>
          <w:sz w:val="25"/>
          <w:szCs w:val="25"/>
          <w:lang w:val="en-US" w:eastAsia="zh-CN"/>
        </w:rPr>
        <w:t>、</w:t>
      </w:r>
      <w:r>
        <w:rPr>
          <w:rFonts w:hint="eastAsia"/>
          <w:sz w:val="25"/>
          <w:szCs w:val="25"/>
          <w:lang w:val="en-US" w:eastAsia="zh-CN"/>
        </w:rPr>
        <w:t>税务总局</w:t>
      </w:r>
      <w:r>
        <w:rPr>
          <w:rFonts w:hint="eastAsia"/>
          <w:sz w:val="25"/>
          <w:szCs w:val="25"/>
          <w:lang w:val="en-US" w:eastAsia="zh-CN"/>
        </w:rPr>
        <w:t>、</w:t>
      </w:r>
      <w:r>
        <w:rPr>
          <w:rFonts w:hint="eastAsia"/>
          <w:sz w:val="25"/>
          <w:szCs w:val="25"/>
          <w:lang w:val="en-US" w:eastAsia="zh-CN"/>
        </w:rPr>
        <w:t>市场监管总局2020年5月9日联合发文，要求帮扶服务业小微企业和个体工商户缓解房屋租金：</w:t>
      </w:r>
    </w:p>
    <w:p w14:paraId="488F279D">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w:t>
      </w:r>
      <w:r>
        <w:rPr>
          <w:rFonts w:hint="default"/>
          <w:sz w:val="25"/>
          <w:szCs w:val="25"/>
          <w:lang w:val="en-US" w:eastAsia="zh-CN"/>
        </w:rPr>
        <w:t>关于应对新冠肺炎疫情进一步帮扶服务业小微企业和个体工商户缓解房屋租金压力的指导意见》</w:t>
      </w:r>
      <w:r>
        <w:rPr>
          <w:rFonts w:hint="eastAsia"/>
          <w:sz w:val="25"/>
          <w:szCs w:val="25"/>
          <w:lang w:val="en-US" w:eastAsia="zh-CN"/>
        </w:rPr>
        <w:t>：</w:t>
      </w:r>
    </w:p>
    <w:p w14:paraId="0D1344A4">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default"/>
          <w:sz w:val="25"/>
          <w:szCs w:val="25"/>
          <w:lang w:val="en-US" w:eastAsia="zh-CN"/>
        </w:rPr>
        <w:t>发改投资规〔2020〕734号</w:t>
      </w:r>
    </w:p>
    <w:p w14:paraId="1C32AE9C">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default"/>
          <w:sz w:val="25"/>
          <w:szCs w:val="25"/>
          <w:lang w:val="en-US" w:eastAsia="zh-CN"/>
        </w:rPr>
        <w:t>各省、自治区、直辖市人民政府，新疆生产建设兵团：</w:t>
      </w:r>
    </w:p>
    <w:p w14:paraId="4C6CD990">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sz w:val="25"/>
          <w:szCs w:val="25"/>
          <w:lang w:val="en-US" w:eastAsia="zh-CN"/>
        </w:rPr>
      </w:pPr>
      <w:r>
        <w:rPr>
          <w:rFonts w:hint="default"/>
          <w:sz w:val="25"/>
          <w:szCs w:val="25"/>
          <w:lang w:val="en-US" w:eastAsia="zh-CN"/>
        </w:rPr>
        <w:t>服务业小微企业和个体工商户在繁荣市场、促进就业、维护稳定方面发挥着重要作用。为落实党中央、国务院决策部署，统筹推进新冠肺炎疫情防控和经济社会发展工作，</w:t>
      </w:r>
      <w:r>
        <w:rPr>
          <w:rFonts w:hint="default"/>
          <w:b/>
          <w:bCs/>
          <w:sz w:val="25"/>
          <w:szCs w:val="25"/>
          <w:lang w:val="en-US" w:eastAsia="zh-CN"/>
        </w:rPr>
        <w:t>进一步帮扶服务业小微企业和个体工商户缓解房屋租金压力，经国务院同意，现提出以下意见：</w:t>
      </w:r>
    </w:p>
    <w:p w14:paraId="26991753">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default"/>
          <w:sz w:val="25"/>
          <w:szCs w:val="25"/>
          <w:lang w:val="en-US" w:eastAsia="zh-CN"/>
        </w:rPr>
        <w:t>一、总体要求</w:t>
      </w:r>
    </w:p>
    <w:p w14:paraId="25403B13">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default"/>
          <w:sz w:val="25"/>
          <w:szCs w:val="25"/>
          <w:lang w:val="en-US" w:eastAsia="zh-CN"/>
        </w:rPr>
        <w:t>受新冠肺炎疫情影响，服务业小微企业和个体工商户房屋租金成本支出压力大，</w:t>
      </w:r>
      <w:r>
        <w:rPr>
          <w:rFonts w:hint="default"/>
          <w:b/>
          <w:bCs/>
          <w:color w:val="auto"/>
          <w:sz w:val="25"/>
          <w:szCs w:val="25"/>
          <w:lang w:val="en-US" w:eastAsia="zh-CN"/>
        </w:rPr>
        <w:t>国有房屋租赁相关主体要带头履行社会责任、主动帮扶小微企业，</w:t>
      </w:r>
      <w:r>
        <w:rPr>
          <w:rFonts w:hint="default"/>
          <w:b/>
          <w:bCs/>
          <w:color w:val="795D01" w:themeColor="accent3" w:themeShade="80"/>
          <w:sz w:val="25"/>
          <w:szCs w:val="25"/>
          <w:lang w:val="en-US" w:eastAsia="zh-CN"/>
        </w:rPr>
        <w:t>鼓励非国有房屋租赁相关主体在平等协商的基础上合理分担疫情带来的损失。</w:t>
      </w:r>
      <w:r>
        <w:rPr>
          <w:rFonts w:hint="default"/>
          <w:sz w:val="25"/>
          <w:szCs w:val="25"/>
          <w:lang w:val="en-US" w:eastAsia="zh-CN"/>
        </w:rPr>
        <w:t>各级政府要加大政策支持力度，金融机构视需要给予适当支持。房屋租金减免和延期支付政策主要支持经营困难的服务业小微企业和个体工商户，优先帮扶受疫情影响严重、经营困难的餐饮、住宿、旅游、教育培训、家政、影院剧场、美容美发等行业。</w:t>
      </w:r>
    </w:p>
    <w:p w14:paraId="730EC39E">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default"/>
          <w:sz w:val="25"/>
          <w:szCs w:val="25"/>
          <w:lang w:val="en-US" w:eastAsia="zh-CN"/>
        </w:rPr>
        <w:t>二、实施房屋租金减免</w:t>
      </w:r>
    </w:p>
    <w:p w14:paraId="213944BA">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795D01" w:themeColor="accent3" w:themeShade="80"/>
          <w:sz w:val="25"/>
          <w:szCs w:val="25"/>
          <w:lang w:val="en-US" w:eastAsia="zh-CN"/>
        </w:rPr>
      </w:pPr>
      <w:r>
        <w:rPr>
          <w:rFonts w:hint="default"/>
          <w:sz w:val="25"/>
          <w:szCs w:val="25"/>
          <w:lang w:val="en-US" w:eastAsia="zh-CN"/>
        </w:rPr>
        <w:t>（一）</w:t>
      </w:r>
      <w:r>
        <w:rPr>
          <w:rFonts w:hint="default"/>
          <w:b/>
          <w:bCs/>
          <w:color w:val="795D01" w:themeColor="accent3" w:themeShade="80"/>
          <w:sz w:val="25"/>
          <w:szCs w:val="25"/>
          <w:lang w:val="en-US" w:eastAsia="zh-CN"/>
        </w:rPr>
        <w:t>推动对承租国有房屋（包括国有企业和政府部门、高校、研究院所等行政事业单位房屋，下同）用于经营、出现困难的服务业小微企业和个体工商户，免除上半年3个月房屋租金。转租、分租国有房屋的，要确保免租惠及最终承租人。</w:t>
      </w:r>
    </w:p>
    <w:p w14:paraId="2D0475D6">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default"/>
          <w:sz w:val="25"/>
          <w:szCs w:val="25"/>
          <w:lang w:val="en-US" w:eastAsia="zh-CN"/>
        </w:rPr>
        <w:t>（二）中央所属国有房屋（包括有关部门、中央企业、中央高校和研究院所等所属国有房屋）出租的，执行房屋所在地对出现经营困难的服务业小微企业和个体工商户的房屋租金支持政策。因减免租金影响国有企事业单位业绩的，在考核中根据实际情况予以认可。</w:t>
      </w:r>
    </w:p>
    <w:p w14:paraId="7B182E97">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default"/>
          <w:sz w:val="25"/>
          <w:szCs w:val="25"/>
          <w:lang w:val="en-US" w:eastAsia="zh-CN"/>
        </w:rPr>
        <w:t>（三）</w:t>
      </w:r>
      <w:r>
        <w:rPr>
          <w:rFonts w:hint="default"/>
          <w:b/>
          <w:bCs/>
          <w:color w:val="795D01" w:themeColor="accent3" w:themeShade="80"/>
          <w:sz w:val="25"/>
          <w:szCs w:val="25"/>
          <w:lang w:val="en-US" w:eastAsia="zh-CN"/>
        </w:rPr>
        <w:t>对承租非国有房屋用于经营、出现困难的服务业小微企业和个体工商户，鼓励出租人考虑承租人实际困难，在双方平等协商的基础上，减免或延期收取房屋租金。</w:t>
      </w:r>
    </w:p>
    <w:p w14:paraId="1FAB5E60">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w:t>
      </w:r>
    </w:p>
    <w:p w14:paraId="20EE6886">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default"/>
          <w:sz w:val="25"/>
          <w:szCs w:val="25"/>
          <w:lang w:val="en-US" w:eastAsia="zh-CN"/>
        </w:rPr>
        <w:t>各地区、各有关部门要充分认识应对新冠肺炎疫情进一步帮扶服务业小微企业和个体工商户缓解房屋租金压力的重要意义，进一步把思想认识行动统一到党中央、国务院决策部署上来，明确职责分工，完善工作机制，落实工作责任，加大工作力度，确保各项要求尽快落到实处。</w:t>
      </w:r>
    </w:p>
    <w:p w14:paraId="68BF84EE">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default"/>
          <w:sz w:val="25"/>
          <w:szCs w:val="25"/>
          <w:lang w:val="en-US" w:eastAsia="zh-CN"/>
        </w:rPr>
        <w:t>国家发展改革委</w:t>
      </w:r>
    </w:p>
    <w:p w14:paraId="3CA8126D">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default"/>
          <w:sz w:val="25"/>
          <w:szCs w:val="25"/>
          <w:lang w:val="en-US" w:eastAsia="zh-CN"/>
        </w:rPr>
        <w:t>住房城乡建设部</w:t>
      </w:r>
    </w:p>
    <w:p w14:paraId="4FB5F63E">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default"/>
          <w:sz w:val="25"/>
          <w:szCs w:val="25"/>
          <w:lang w:val="en-US" w:eastAsia="zh-CN"/>
        </w:rPr>
        <w:t>财  政  部</w:t>
      </w:r>
    </w:p>
    <w:p w14:paraId="3084E113">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default"/>
          <w:sz w:val="25"/>
          <w:szCs w:val="25"/>
          <w:lang w:val="en-US" w:eastAsia="zh-CN"/>
        </w:rPr>
        <w:t>商  务  部</w:t>
      </w:r>
    </w:p>
    <w:p w14:paraId="483F2C2E">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default"/>
          <w:sz w:val="25"/>
          <w:szCs w:val="25"/>
          <w:lang w:val="en-US" w:eastAsia="zh-CN"/>
        </w:rPr>
        <w:t>人 民 银 行</w:t>
      </w:r>
    </w:p>
    <w:p w14:paraId="0D5335B8">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default"/>
          <w:sz w:val="25"/>
          <w:szCs w:val="25"/>
          <w:lang w:val="en-US" w:eastAsia="zh-CN"/>
        </w:rPr>
        <w:t>国  资  委</w:t>
      </w:r>
    </w:p>
    <w:p w14:paraId="5D66ACD1">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default"/>
          <w:sz w:val="25"/>
          <w:szCs w:val="25"/>
          <w:lang w:val="en-US" w:eastAsia="zh-CN"/>
        </w:rPr>
        <w:t>税 务 总 局</w:t>
      </w:r>
    </w:p>
    <w:p w14:paraId="2DF7BFAE">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default"/>
          <w:sz w:val="25"/>
          <w:szCs w:val="25"/>
          <w:lang w:val="en-US" w:eastAsia="zh-CN"/>
        </w:rPr>
        <w:t>市场监管总局</w:t>
      </w:r>
    </w:p>
    <w:p w14:paraId="492AB2B1">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default"/>
          <w:sz w:val="25"/>
          <w:szCs w:val="25"/>
          <w:lang w:val="en-US" w:eastAsia="zh-CN"/>
        </w:rPr>
        <w:t>2020年5月9日】</w:t>
      </w:r>
    </w:p>
    <w:p w14:paraId="0EB4208A">
      <w:pPr>
        <w:keepNext w:val="0"/>
        <w:keepLines w:val="0"/>
        <w:pageBreakBefore w:val="0"/>
        <w:widowControl/>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6572885" cy="16021685"/>
            <wp:effectExtent l="0" t="0" r="10795" b="10795"/>
            <wp:docPr id="2" name="图片 2" descr="948db212-995d-41a3-9b2a-273129074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48db212-995d-41a3-9b2a-2731290740d2"/>
                    <pic:cNvPicPr>
                      <a:picLocks noChangeAspect="1"/>
                    </pic:cNvPicPr>
                  </pic:nvPicPr>
                  <pic:blipFill>
                    <a:blip r:embed="rId4"/>
                    <a:stretch>
                      <a:fillRect/>
                    </a:stretch>
                  </pic:blipFill>
                  <pic:spPr>
                    <a:xfrm>
                      <a:off x="0" y="0"/>
                      <a:ext cx="6572885" cy="16021685"/>
                    </a:xfrm>
                    <a:prstGeom prst="rect">
                      <a:avLst/>
                    </a:prstGeom>
                  </pic:spPr>
                </pic:pic>
              </a:graphicData>
            </a:graphic>
          </wp:inline>
        </w:drawing>
      </w:r>
    </w:p>
    <w:p w14:paraId="6CAF9916">
      <w:pPr>
        <w:keepNext w:val="0"/>
        <w:keepLines w:val="0"/>
        <w:pageBreakBefore w:val="0"/>
        <w:widowControl/>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截止2026年6月18日，兰州银行的第一大股东是兰州市财政局，占股8.74%；兰州国资投资（控股）建设集团有限公司是第二大股东，占股7.21%，该投资公司是兰州国资委所属企业，是国有企业；第三、第四、第五、第六大股东都是民营企业；第七、第十大股东均为国企。股权结构如下：</w:t>
      </w:r>
    </w:p>
    <w:p w14:paraId="25A3BF20">
      <w:pPr>
        <w:keepNext w:val="0"/>
        <w:keepLines w:val="0"/>
        <w:pageBreakBefore w:val="0"/>
        <w:widowControl/>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default"/>
          <w:sz w:val="25"/>
          <w:szCs w:val="25"/>
          <w:lang w:val="en-US" w:eastAsia="zh-CN"/>
        </w:rPr>
        <w:drawing>
          <wp:inline distT="0" distB="0" distL="114300" distR="114300">
            <wp:extent cx="6234430" cy="4163060"/>
            <wp:effectExtent l="0" t="0" r="13970" b="12700"/>
            <wp:docPr id="1" name="图片 1" descr="d6aafeed-2f21-4f46-8448-b81cb8bf9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6aafeed-2f21-4f46-8448-b81cb8bf9fa6"/>
                    <pic:cNvPicPr>
                      <a:picLocks noChangeAspect="1"/>
                    </pic:cNvPicPr>
                  </pic:nvPicPr>
                  <pic:blipFill>
                    <a:blip r:embed="rId5"/>
                    <a:stretch>
                      <a:fillRect/>
                    </a:stretch>
                  </pic:blipFill>
                  <pic:spPr>
                    <a:xfrm>
                      <a:off x="0" y="0"/>
                      <a:ext cx="6234430" cy="4163060"/>
                    </a:xfrm>
                    <a:prstGeom prst="rect">
                      <a:avLst/>
                    </a:prstGeom>
                  </pic:spPr>
                </pic:pic>
              </a:graphicData>
            </a:graphic>
          </wp:inline>
        </w:drawing>
      </w:r>
    </w:p>
    <w:p w14:paraId="1076EDFF">
      <w:pPr>
        <w:keepNext w:val="0"/>
        <w:keepLines w:val="0"/>
        <w:pageBreakBefore w:val="0"/>
        <w:widowControl/>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那么，兰州银行是否属于《关于应对新冠肺炎疫情进一步帮扶服务业小微企业和个体工商户缓解房屋租金压力的指导意见》中所说的“</w:t>
      </w:r>
      <w:r>
        <w:rPr>
          <w:rFonts w:hint="default"/>
          <w:b/>
          <w:bCs/>
          <w:color w:val="795D01" w:themeColor="accent3" w:themeShade="80"/>
          <w:sz w:val="25"/>
          <w:szCs w:val="25"/>
          <w:lang w:val="en-US" w:eastAsia="zh-CN"/>
        </w:rPr>
        <w:t>国有房屋</w:t>
      </w:r>
      <w:r>
        <w:rPr>
          <w:rFonts w:hint="eastAsia"/>
          <w:sz w:val="25"/>
          <w:szCs w:val="25"/>
          <w:lang w:val="en-US" w:eastAsia="zh-CN"/>
        </w:rPr>
        <w:t>”？</w:t>
      </w:r>
    </w:p>
    <w:p w14:paraId="47EDF8B1">
      <w:pPr>
        <w:keepNext w:val="0"/>
        <w:keepLines w:val="0"/>
        <w:pageBreakBefore w:val="0"/>
        <w:widowControl/>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1、国资是兰州银行单一最大股东，其他民营企业没有一致行动人协议，在没有其他单一庞大民营股东对抗的情况下，地方国资在兰州银行享有绝对的一票否决权和支配地位。可以说，兰州银行的控制权在国资；</w:t>
      </w:r>
    </w:p>
    <w:p w14:paraId="509E81CB">
      <w:pPr>
        <w:keepNext w:val="0"/>
        <w:keepLines w:val="0"/>
        <w:pageBreakBefore w:val="0"/>
        <w:widowControl/>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2、人事任免权：党委书记与董事长由政府委派。</w:t>
      </w:r>
    </w:p>
    <w:p w14:paraId="4EAA57A1">
      <w:pPr>
        <w:keepNext w:val="0"/>
        <w:keepLines w:val="0"/>
        <w:pageBreakBefore w:val="0"/>
        <w:widowControl/>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根据证券时报2019年3月7日《兰州银行新董事长上任 甘肃多家金融机构"换帅"落定》报道：</w:t>
      </w:r>
    </w:p>
    <w:p w14:paraId="42B54C48">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5"/>
          <w:szCs w:val="25"/>
          <w:lang w:val="en-US" w:eastAsia="zh-CN"/>
        </w:rPr>
      </w:pPr>
      <w:r>
        <w:rPr>
          <w:rFonts w:hint="eastAsia"/>
          <w:sz w:val="25"/>
          <w:szCs w:val="25"/>
          <w:lang w:val="en-US" w:eastAsia="zh-CN"/>
        </w:rPr>
        <w:t>【兰州银行第一大股东和第二大股东分别为兰州市财政局和兰州国资投资建设集团，分别持股9.72%和7.87%。因此，</w:t>
      </w:r>
      <w:r>
        <w:rPr>
          <w:rFonts w:hint="eastAsia"/>
          <w:b/>
          <w:bCs/>
          <w:color w:val="795D01" w:themeColor="accent3" w:themeShade="80"/>
          <w:sz w:val="25"/>
          <w:szCs w:val="25"/>
          <w:lang w:val="en-US" w:eastAsia="zh-CN"/>
        </w:rPr>
        <w:t>兰州市委、市政府对兰州银行的主要领导有任免权利。</w:t>
      </w:r>
    </w:p>
    <w:p w14:paraId="5DE26B9A">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sz w:val="25"/>
          <w:szCs w:val="25"/>
          <w:lang w:val="en-US" w:eastAsia="zh-CN"/>
        </w:rPr>
      </w:pPr>
      <w:r>
        <w:rPr>
          <w:rFonts w:hint="eastAsia"/>
          <w:b/>
          <w:bCs/>
          <w:sz w:val="25"/>
          <w:szCs w:val="25"/>
          <w:lang w:val="en-US" w:eastAsia="zh-CN"/>
        </w:rPr>
        <w:t>去年12月13日，兰州银行召开干部大会，兰州市委、市政府宣布由许建平担任兰州银行党委书记、董事长人选，原董事长房向阳不再担任董事长。</w:t>
      </w:r>
    </w:p>
    <w:p w14:paraId="4ED4B91E">
      <w:pPr>
        <w:keepNext w:val="0"/>
        <w:keepLines w:val="0"/>
        <w:pageBreakBefore w:val="0"/>
        <w:widowControl/>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据记者了解，房向阳卸任后，前往兰州市政协担任经济委员会副主任，兰州银行行长仍由张俊良担任。】</w:t>
      </w:r>
    </w:p>
    <w:p w14:paraId="5CB2DE07">
      <w:pPr>
        <w:keepNext w:val="0"/>
        <w:keepLines w:val="0"/>
        <w:pageBreakBefore w:val="0"/>
        <w:widowControl/>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3、监管定性。</w:t>
      </w:r>
    </w:p>
    <w:p w14:paraId="67B1444F">
      <w:pPr>
        <w:keepNext w:val="0"/>
        <w:keepLines w:val="0"/>
        <w:pageBreakBefore w:val="0"/>
        <w:widowControl/>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国家金融监督管理总局和财政部的监管归类中，兰州银行的机构类型被明确界定为“城市商业银行”。在国有资产统计和日常收支监管中，它由兰州市财政局履行国有金融资本出资人职责，属于国有金融企业的监管范畴。其资产的增值保值需向国资和财政部门汇报。</w:t>
      </w:r>
    </w:p>
    <w:p w14:paraId="1A146175">
      <w:pPr>
        <w:keepNext w:val="0"/>
        <w:keepLines w:val="0"/>
        <w:pageBreakBefore w:val="0"/>
        <w:widowControl/>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从上述三点看，兰州银行的房产是否应该属于“国有房屋”，法律会有明确界定。</w:t>
      </w:r>
    </w:p>
    <w:p w14:paraId="7AEAFC8F">
      <w:pPr>
        <w:keepNext w:val="0"/>
        <w:keepLines w:val="0"/>
        <w:pageBreakBefore w:val="0"/>
        <w:widowControl/>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退一万步，兰州银行的房产即使不算</w:t>
      </w:r>
      <w:r>
        <w:rPr>
          <w:rFonts w:hint="eastAsia" w:ascii="Times New Roman" w:eastAsia="宋体"/>
          <w:sz w:val="25"/>
          <w:szCs w:val="25"/>
          <w:lang w:val="en-US" w:eastAsia="zh-CN"/>
        </w:rPr>
        <w:t>“</w:t>
      </w:r>
      <w:r>
        <w:rPr>
          <w:rFonts w:hint="default"/>
          <w:b/>
          <w:bCs/>
          <w:color w:val="795D01" w:themeColor="accent3" w:themeShade="80"/>
          <w:sz w:val="25"/>
          <w:szCs w:val="25"/>
          <w:lang w:val="en-US" w:eastAsia="zh-CN"/>
        </w:rPr>
        <w:t>国有房屋</w:t>
      </w:r>
      <w:r>
        <w:rPr>
          <w:rFonts w:hint="eastAsia" w:ascii="Times New Roman" w:eastAsia="宋体"/>
          <w:sz w:val="25"/>
          <w:szCs w:val="25"/>
          <w:lang w:val="en-US" w:eastAsia="zh-CN"/>
        </w:rPr>
        <w:t>”，但指导意见中特别指出“</w:t>
      </w:r>
      <w:r>
        <w:rPr>
          <w:rFonts w:hint="default"/>
          <w:b/>
          <w:bCs/>
          <w:color w:val="795D01" w:themeColor="accent3" w:themeShade="80"/>
          <w:sz w:val="25"/>
          <w:szCs w:val="25"/>
          <w:lang w:val="en-US" w:eastAsia="zh-CN"/>
        </w:rPr>
        <w:t>鼓励非国有房屋租赁相关主体在平等协商的基础上合理分担疫情带来的损失</w:t>
      </w:r>
      <w:r>
        <w:rPr>
          <w:rFonts w:hint="eastAsia" w:ascii="Times New Roman" w:eastAsia="宋体"/>
          <w:sz w:val="25"/>
          <w:szCs w:val="25"/>
          <w:lang w:val="en-US" w:eastAsia="zh-CN"/>
        </w:rPr>
        <w:t>”、“</w:t>
      </w:r>
      <w:r>
        <w:rPr>
          <w:rFonts w:hint="default"/>
          <w:b/>
          <w:bCs/>
          <w:color w:val="795D01" w:themeColor="accent3" w:themeShade="80"/>
          <w:sz w:val="25"/>
          <w:szCs w:val="25"/>
          <w:lang w:val="en-US" w:eastAsia="zh-CN"/>
        </w:rPr>
        <w:t>对承租非国有房屋用于经营、出现困难的服务业小微企业和个体工商户，鼓励出租人考虑承租人实际困难，在双方平等协商的基础上，减免或延期收取房屋租金</w:t>
      </w:r>
      <w:r>
        <w:rPr>
          <w:rFonts w:hint="eastAsia" w:ascii="Times New Roman" w:eastAsia="宋体"/>
          <w:sz w:val="25"/>
          <w:szCs w:val="25"/>
          <w:lang w:val="en-US" w:eastAsia="zh-CN"/>
        </w:rPr>
        <w:t>”。兰州银行也应该“</w:t>
      </w:r>
      <w:r>
        <w:rPr>
          <w:rFonts w:hint="default"/>
          <w:b/>
          <w:bCs/>
          <w:color w:val="795D01" w:themeColor="accent3" w:themeShade="80"/>
          <w:sz w:val="25"/>
          <w:szCs w:val="25"/>
          <w:lang w:val="en-US" w:eastAsia="zh-CN"/>
        </w:rPr>
        <w:t>考虑承租人实际困难</w:t>
      </w:r>
      <w:r>
        <w:rPr>
          <w:rFonts w:hint="eastAsia" w:ascii="Times New Roman" w:eastAsia="宋体"/>
          <w:sz w:val="25"/>
          <w:szCs w:val="25"/>
          <w:lang w:val="en-US" w:eastAsia="zh-CN"/>
        </w:rPr>
        <w:t>”，适当予以减免房租。</w:t>
      </w:r>
    </w:p>
    <w:p w14:paraId="35E1B433">
      <w:pPr>
        <w:keepNext w:val="0"/>
        <w:keepLines w:val="0"/>
        <w:pageBreakBefore w:val="0"/>
        <w:widowControl/>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疫情期间，兰州银行是否按照《关于应对新冠肺炎疫情进一步帮扶服务业小微企业和个体工商户缓解房屋租金压力的指导意见》对承租的商户进行减免？是否按照指导意见所要求的“确保各项要求尽快落到实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KSOF7FC4CF2A">
    <w:panose1 w:val="020B06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383609"/>
    <w:rsid w:val="0B1B4683"/>
    <w:rsid w:val="7A3836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12</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2026-06-18T00:52:00Z</dcterms:created>
  <dc:creator>Administrator</dc:creator>
  <cp:lastModifiedBy>Administrator</cp:lastModifiedBy>
  <dcterms:modified xsi:type="dcterms:W3CDTF">2026-06-18T03:08:19Z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191E6DA299D040DFB66AFA8EA5508705_11</vt:lpwstr>
  </property>
  <property fmtid="{D5CDD505-2E9C-101B-9397-08002B2CF9AE}" pid="4" name="KSOTemplateDocerSaveRecord">
    <vt:lpwstr>eyJoZGlkIjoiY2Q3YWU0YWNjMjQyMDI1ZTFhM2M4OTM0ZjcyYzNkNmQifQ==</vt:lpwstr>
  </property>
</Properties>
</file>