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袁隆平贡献有多大</w:t>
      </w:r>
    </w:p>
    <w:p>
      <w:pPr>
        <w:rPr>
          <w:rFonts w:hint="default"/>
          <w:lang w:val="en-US" w:eastAsia="zh-CN"/>
        </w:rPr>
      </w:pPr>
    </w:p>
    <w:p>
      <w:r>
        <w:rPr>
          <w:rFonts w:hint="eastAsia"/>
        </w:rPr>
        <w:t>https://www.lbh0621.com.cn/nongyebu/raNJA74rp8Bb8q2.html</w:t>
      </w:r>
    </w:p>
    <w:p>
      <w:pP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3、1980年以来，袁隆平又先后育成“威优64”、“威优49”等几个大面积推广的早熟、多抗新组合。</w:t>
      </w:r>
    </w:p>
    <w:p>
      <w:pP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HGFX_CNKI" w:hAnsi="HGFX_CNKI" w:eastAsia="HGFX_CNKI" w:cs="HGFX_CNKI"/>
          <w:color w:val="000000"/>
          <w:kern w:val="0"/>
          <w:sz w:val="7"/>
          <w:szCs w:val="7"/>
          <w:lang w:val="en-US" w:eastAsia="zh-CN" w:bidi="ar"/>
        </w:rPr>
        <w:t xml:space="preserve">。 </w:t>
      </w:r>
    </w:p>
    <w:p>
      <w:pP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《湖南省杂交早稻生产现状及发展前景_易维希》：</w:t>
      </w:r>
    </w:p>
    <w:p>
      <w:pP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1986年以后威优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威优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威优相继问世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虽然抗性仍不太理想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但熟期较早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丰产性大大优于威优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威优和威优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其中威优妇大面积亩产过公斤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比常规早相高一多公斤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基本上突破了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早而不优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的局面</w:t>
      </w:r>
    </w:p>
    <w:p>
      <w:pP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《杂交水稻在中国推广应用十二年(续)_覃明周》：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962275" cy="2209800"/>
            <wp:effectExtent l="0" t="0" r="9525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"https://www.fx361.com/page/2020/0307/13311611.shtml"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>https://www.fx361.com/page/2020/0307/13311611.shtml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40" w:lineRule="atLeast"/>
        <w:ind w:left="0" w:right="0" w:firstLine="0"/>
        <w:rPr>
          <w:rFonts w:hint="eastAsia" w:ascii="微软雅黑" w:hAnsi="微软雅黑" w:eastAsia="微软雅黑" w:cs="微软雅黑"/>
          <w:b/>
          <w:bCs/>
          <w:caps w:val="0"/>
          <w:color w:val="323232"/>
          <w:spacing w:val="-15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aps w:val="0"/>
          <w:color w:val="323232"/>
          <w:spacing w:val="-15"/>
          <w:sz w:val="24"/>
          <w:szCs w:val="24"/>
          <w:bdr w:val="none" w:color="auto" w:sz="0" w:space="0"/>
          <w:shd w:val="clear" w:fill="FFFFFF"/>
        </w:rPr>
        <w:t>2001—2017年我国优质杂交稻推广应用现状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"https://www.ricedata.cn/"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5"/>
          <w:rFonts w:hint="eastAsia" w:ascii="宋体" w:hAnsi="宋体" w:eastAsia="宋体" w:cs="宋体"/>
          <w:sz w:val="24"/>
          <w:szCs w:val="24"/>
          <w:lang w:val="en-US" w:eastAsia="zh-CN"/>
        </w:rPr>
        <w:t>https://www.ricedata.cn/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国家水稻数据中心</w:t>
      </w: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GFX_CNK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VlYmVhNTQxNmNlOGY5N2E3MWE3ODhkZjc5MTg3N2UifQ=="/>
  </w:docVars>
  <w:rsids>
    <w:rsidRoot w:val="494777E6"/>
    <w:rsid w:val="494777E6"/>
    <w:rsid w:val="6C465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207</Words>
  <Characters>327</Characters>
  <Lines>0</Lines>
  <Paragraphs>0</Paragraphs>
  <TotalTime>308</TotalTime>
  <ScaleCrop>false</ScaleCrop>
  <LinksUpToDate>false</LinksUpToDate>
  <CharactersWithSpaces>328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2023-05-31T04:18:00Z</dcterms:created>
  <dc:creator>user</dc:creator>
  <cp:lastModifiedBy>user</cp:lastModifiedBy>
  <dcterms:modified xsi:type="dcterms:W3CDTF">2023-05-31T09:27:08Z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C212046798394B838FC49393D02AD324_11</vt:lpwstr>
  </property>
</Properties>
</file>