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2.webp" ContentType="image/webp"/>
  <Override PartName="/word/media/image4.webp" ContentType="image/webp"/>
  <Override PartName="/word/media/image5.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43280">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越南特色，是越南特色社会主义还是越南特色资本主义？</w:t>
      </w:r>
    </w:p>
    <w:p w14:paraId="5B34ED53">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sz w:val="28"/>
          <w:szCs w:val="28"/>
          <w:lang w:val="en-US" w:eastAsia="zh-CN"/>
        </w:rPr>
      </w:pPr>
      <w:r>
        <w:rPr>
          <w:rFonts w:hint="eastAsia"/>
          <w:sz w:val="28"/>
          <w:szCs w:val="28"/>
          <w:lang w:val="en-US" w:eastAsia="zh-CN"/>
        </w:rPr>
        <w:t>近段时间，在了解越南的政治经济情况，越南到底是一个什么国家呢？</w:t>
      </w:r>
    </w:p>
    <w:p w14:paraId="6D6A97DA">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asciiTheme="minorHAnsi" w:hAnsiTheme="minorHAnsi" w:eastAsiaTheme="minorEastAsia" w:cstheme="minorBidi"/>
          <w:kern w:val="2"/>
          <w:sz w:val="28"/>
          <w:szCs w:val="28"/>
          <w:lang w:val="en-US" w:eastAsia="zh-CN" w:bidi="ar-SA"/>
        </w:rPr>
      </w:pPr>
      <w:r>
        <w:rPr>
          <w:rFonts w:hint="eastAsia" w:asciiTheme="minorHAnsi" w:hAnsiTheme="minorHAnsi" w:eastAsiaTheme="minorEastAsia" w:cstheme="minorBidi"/>
          <w:kern w:val="2"/>
          <w:sz w:val="28"/>
          <w:szCs w:val="28"/>
          <w:lang w:val="en-US" w:eastAsia="zh-CN" w:bidi="ar-SA"/>
        </w:rPr>
        <w:t>本文的数据大多来自于越南国家通讯社</w:t>
      </w:r>
      <w:r>
        <w:rPr>
          <w:rFonts w:hint="eastAsia" w:cstheme="minorBidi"/>
          <w:kern w:val="2"/>
          <w:sz w:val="28"/>
          <w:szCs w:val="28"/>
          <w:lang w:val="en-US" w:eastAsia="zh-CN" w:bidi="ar-SA"/>
        </w:rPr>
        <w:t>，简称</w:t>
      </w:r>
      <w:r>
        <w:rPr>
          <w:rFonts w:hint="eastAsia" w:asciiTheme="minorHAnsi" w:hAnsiTheme="minorHAnsi" w:eastAsiaTheme="minorEastAsia" w:cstheme="minorBidi"/>
          <w:kern w:val="2"/>
          <w:sz w:val="28"/>
          <w:szCs w:val="28"/>
          <w:lang w:val="en-US" w:eastAsia="zh-CN" w:bidi="ar-SA"/>
        </w:rPr>
        <w:t>“越通社”。</w:t>
      </w:r>
    </w:p>
    <w:p w14:paraId="4FD9CDCB">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越通社</w:t>
      </w:r>
      <w:r>
        <w:rPr>
          <w:rFonts w:hint="default"/>
          <w:sz w:val="28"/>
          <w:szCs w:val="28"/>
          <w:lang w:val="en-US" w:eastAsia="zh-CN"/>
        </w:rPr>
        <w:t>2023年11月29日</w:t>
      </w:r>
      <w:r>
        <w:rPr>
          <w:rFonts w:hint="eastAsia"/>
          <w:sz w:val="28"/>
          <w:szCs w:val="28"/>
          <w:lang w:val="en-US" w:eastAsia="zh-CN"/>
        </w:rPr>
        <w:t>报道：</w:t>
      </w:r>
    </w:p>
    <w:p w14:paraId="5C10E5CF">
      <w:pPr>
        <w:pStyle w:val="2"/>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leftChars="400" w:right="840" w:rightChars="400" w:firstLine="0"/>
        <w:jc w:val="left"/>
        <w:textAlignment w:val="auto"/>
        <w:rPr>
          <w:rFonts w:hint="eastAsia"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阮富仲总书记撰写书籍：弘扬团结精神，维护越南特色</w:t>
      </w:r>
      <w:r>
        <w:rPr>
          <w:rFonts w:hint="eastAsia" w:asciiTheme="minorHAnsi" w:hAnsiTheme="minorHAnsi" w:eastAsiaTheme="minorEastAsia" w:cstheme="minorBidi"/>
          <w:b w:val="0"/>
          <w:bCs w:val="0"/>
          <w:kern w:val="2"/>
          <w:sz w:val="28"/>
          <w:szCs w:val="28"/>
          <w:lang w:val="en-US" w:eastAsia="zh-CN" w:bidi="ar-SA"/>
        </w:rPr>
        <w:t>》</w:t>
      </w:r>
    </w:p>
    <w:p w14:paraId="510C11E6">
      <w:pPr>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b w:val="0"/>
          <w:bCs w:val="0"/>
          <w:kern w:val="2"/>
          <w:sz w:val="28"/>
          <w:szCs w:val="28"/>
          <w:lang w:val="en-US" w:eastAsia="zh-CN" w:bidi="ar-SA"/>
        </w:rPr>
      </w:pPr>
      <w:r>
        <w:rPr>
          <w:rFonts w:hint="default" w:asciiTheme="minorHAnsi" w:hAnsiTheme="minorHAnsi" w:eastAsiaTheme="minorEastAsia" w:cstheme="minorBidi"/>
          <w:b w:val="0"/>
          <w:bCs w:val="0"/>
          <w:kern w:val="2"/>
          <w:sz w:val="28"/>
          <w:szCs w:val="28"/>
          <w:lang w:val="en-US" w:eastAsia="zh-CN" w:bidi="ar-SA"/>
        </w:rPr>
        <w:t>越南祖国阵线中央委员会与越南真理国家政治出版社联合举行越共中央总书记阮富仲撰写《发挥全民族大团结传统，建设越南日益富强文明幸福》书籍出版仪式。</w:t>
      </w:r>
    </w:p>
    <w:p w14:paraId="0E1D1E40">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这是越南最高领导人明确的指导思想——</w:t>
      </w:r>
      <w:r>
        <w:rPr>
          <w:rFonts w:hint="default" w:asciiTheme="minorHAnsi" w:hAnsiTheme="minorHAnsi" w:eastAsiaTheme="minorEastAsia" w:cstheme="minorBidi"/>
          <w:b w:val="0"/>
          <w:bCs w:val="0"/>
          <w:kern w:val="2"/>
          <w:sz w:val="28"/>
          <w:szCs w:val="28"/>
          <w:lang w:val="en-US" w:eastAsia="zh-CN" w:bidi="ar-SA"/>
        </w:rPr>
        <w:t>维护越南特色</w:t>
      </w:r>
      <w:r>
        <w:rPr>
          <w:rFonts w:hint="eastAsia"/>
          <w:sz w:val="28"/>
          <w:szCs w:val="28"/>
          <w:lang w:val="en-US" w:eastAsia="zh-CN"/>
        </w:rPr>
        <w:t>。</w:t>
      </w:r>
    </w:p>
    <w:p w14:paraId="0167A10C">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越通社2021年7月30日报道：</w:t>
      </w:r>
    </w:p>
    <w:p w14:paraId="03E5874D">
      <w:pPr>
        <w:pStyle w:val="2"/>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afterAutospacing="0" w:line="240" w:lineRule="auto"/>
        <w:textAlignment w:val="auto"/>
        <w:rPr>
          <w:rFonts w:hint="eastAsia"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中国学者：越共中央总书记阮富仲的署名文章强调了越南走向社会主义道路的正确性</w:t>
      </w:r>
      <w:r>
        <w:rPr>
          <w:rFonts w:hint="eastAsia" w:asciiTheme="minorHAnsi" w:hAnsiTheme="minorHAnsi" w:eastAsiaTheme="minorEastAsia" w:cstheme="minorBidi"/>
          <w:b w:val="0"/>
          <w:bCs w:val="0"/>
          <w:kern w:val="2"/>
          <w:sz w:val="28"/>
          <w:szCs w:val="28"/>
          <w:lang w:val="en-US" w:eastAsia="zh-CN" w:bidi="ar-SA"/>
        </w:rPr>
        <w:t>》</w:t>
      </w:r>
    </w:p>
    <w:p w14:paraId="3B517559">
      <w:pPr>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b w:val="0"/>
          <w:bCs w:val="0"/>
          <w:kern w:val="2"/>
          <w:sz w:val="28"/>
          <w:szCs w:val="28"/>
          <w:lang w:val="en-US" w:eastAsia="zh-CN" w:bidi="ar-SA"/>
        </w:rPr>
      </w:pPr>
      <w:r>
        <w:rPr>
          <w:rFonts w:hint="default" w:asciiTheme="minorHAnsi" w:hAnsiTheme="minorHAnsi" w:eastAsiaTheme="minorEastAsia" w:cstheme="minorBidi"/>
          <w:b w:val="0"/>
          <w:bCs w:val="0"/>
          <w:kern w:val="2"/>
          <w:sz w:val="28"/>
          <w:szCs w:val="28"/>
          <w:lang w:val="en-US" w:eastAsia="zh-CN" w:bidi="ar-SA"/>
        </w:rPr>
        <w:t>越共中央总书记阮富仲最近发表题为《社会主义理论与实践若干问题和越南走向社会主义的道路》的重要署名文章，文章从越南的实践角度围绕越南社会主义建设的初心和发展，系统剖析了越南在革新事业和走向社会主义道路这些年来的意义和问题、方式和方法，揭示了越南社会主义定向市场经济和以人为发展战略中心地位的若干理论的缘起和目标、坚持和坚定。</w:t>
      </w:r>
    </w:p>
    <w:p w14:paraId="61B3648E">
      <w:pPr>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b w:val="0"/>
          <w:bCs w:val="0"/>
          <w:kern w:val="2"/>
          <w:sz w:val="28"/>
          <w:szCs w:val="28"/>
          <w:lang w:val="en-US" w:eastAsia="zh-CN" w:bidi="ar-SA"/>
        </w:rPr>
      </w:pPr>
      <w:r>
        <w:rPr>
          <w:rFonts w:hint="default" w:asciiTheme="minorHAnsi" w:hAnsiTheme="minorHAnsi" w:eastAsiaTheme="minorEastAsia" w:cstheme="minorBidi"/>
          <w:b w:val="0"/>
          <w:bCs w:val="0"/>
          <w:kern w:val="2"/>
          <w:sz w:val="28"/>
          <w:szCs w:val="28"/>
          <w:lang w:val="en-US" w:eastAsia="zh-CN" w:bidi="ar-SA"/>
        </w:rPr>
        <w:t>韩方明回顾了自1986年越南革新开放以来的征程。作者指出，革新开放35年来越南坚持</w:t>
      </w:r>
      <w:r>
        <w:rPr>
          <w:rFonts w:hint="default" w:asciiTheme="minorHAnsi" w:hAnsiTheme="minorHAnsi" w:eastAsiaTheme="minorEastAsia" w:cstheme="minorBidi"/>
          <w:b/>
          <w:bCs/>
          <w:kern w:val="2"/>
          <w:sz w:val="28"/>
          <w:szCs w:val="28"/>
          <w:lang w:val="en-US" w:eastAsia="zh-CN" w:bidi="ar-SA"/>
        </w:rPr>
        <w:t>越南特色社会主义</w:t>
      </w:r>
      <w:r>
        <w:rPr>
          <w:rFonts w:hint="default" w:asciiTheme="minorHAnsi" w:hAnsiTheme="minorHAnsi" w:eastAsiaTheme="minorEastAsia" w:cstheme="minorBidi"/>
          <w:b w:val="0"/>
          <w:bCs w:val="0"/>
          <w:kern w:val="2"/>
          <w:sz w:val="28"/>
          <w:szCs w:val="28"/>
          <w:lang w:val="en-US" w:eastAsia="zh-CN" w:bidi="ar-SA"/>
        </w:rPr>
        <w:t>发展道路，经济持续保持较高的增长和发展速度，年均增长率约7％，至2020年已成为东盟第四大经济体。越南谱写了一曲属于越南的“春天的故事”</w:t>
      </w:r>
      <w:r>
        <w:rPr>
          <w:rFonts w:hint="eastAsia" w:cstheme="minorBidi"/>
          <w:b w:val="0"/>
          <w:bCs w:val="0"/>
          <w:kern w:val="2"/>
          <w:sz w:val="28"/>
          <w:szCs w:val="28"/>
          <w:lang w:val="en-US" w:eastAsia="zh-CN" w:bidi="ar-SA"/>
        </w:rPr>
        <w:t>......</w:t>
      </w:r>
    </w:p>
    <w:p w14:paraId="541C54A0">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eastAsia"/>
          <w:sz w:val="28"/>
          <w:szCs w:val="28"/>
          <w:lang w:val="en-US" w:eastAsia="zh-CN"/>
        </w:rPr>
        <w:t>中国学者</w:t>
      </w:r>
      <w:r>
        <w:rPr>
          <w:rFonts w:hint="default" w:asciiTheme="minorHAnsi" w:hAnsiTheme="minorHAnsi" w:eastAsiaTheme="minorEastAsia" w:cstheme="minorBidi"/>
          <w:b w:val="0"/>
          <w:bCs w:val="0"/>
          <w:kern w:val="2"/>
          <w:sz w:val="28"/>
          <w:szCs w:val="28"/>
          <w:lang w:val="en-US" w:eastAsia="zh-CN" w:bidi="ar-SA"/>
        </w:rPr>
        <w:t>韩方明</w:t>
      </w:r>
      <w:r>
        <w:rPr>
          <w:rFonts w:hint="eastAsia"/>
          <w:sz w:val="28"/>
          <w:szCs w:val="28"/>
          <w:lang w:val="en-US" w:eastAsia="zh-CN"/>
        </w:rPr>
        <w:t>指出“</w:t>
      </w:r>
      <w:r>
        <w:rPr>
          <w:rFonts w:hint="default"/>
          <w:sz w:val="28"/>
          <w:szCs w:val="28"/>
          <w:lang w:val="en-US" w:eastAsia="zh-CN"/>
        </w:rPr>
        <w:t>越南坚持越南特色社会主义发展道路</w:t>
      </w:r>
      <w:r>
        <w:rPr>
          <w:rFonts w:hint="eastAsia"/>
          <w:sz w:val="28"/>
          <w:szCs w:val="28"/>
          <w:lang w:val="en-US" w:eastAsia="zh-CN"/>
        </w:rPr>
        <w:t>”。</w:t>
      </w:r>
    </w:p>
    <w:p w14:paraId="57DCC7CD">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sz w:val="28"/>
          <w:szCs w:val="28"/>
          <w:lang w:val="en-US" w:eastAsia="zh-CN"/>
        </w:rPr>
      </w:pPr>
      <w:r>
        <w:rPr>
          <w:rFonts w:hint="default"/>
          <w:sz w:val="28"/>
          <w:szCs w:val="28"/>
          <w:lang w:val="en-US" w:eastAsia="zh-CN"/>
        </w:rPr>
        <w:t>中共江苏省委党校/江苏省行政学院科学社会主义教研部</w:t>
      </w:r>
      <w:r>
        <w:rPr>
          <w:rFonts w:hint="default"/>
          <w:sz w:val="28"/>
          <w:szCs w:val="28"/>
          <w:lang w:val="en-US" w:eastAsia="zh-CN"/>
        </w:rPr>
        <w:fldChar w:fldCharType="begin"/>
      </w:r>
      <w:r>
        <w:rPr>
          <w:rFonts w:hint="default"/>
          <w:sz w:val="28"/>
          <w:szCs w:val="28"/>
          <w:lang w:val="en-US" w:eastAsia="zh-CN"/>
        </w:rPr>
        <w:instrText xml:space="preserve"> HYPERLINK "javascript:void(0);" </w:instrText>
      </w:r>
      <w:r>
        <w:rPr>
          <w:rFonts w:hint="default"/>
          <w:sz w:val="28"/>
          <w:szCs w:val="28"/>
          <w:lang w:val="en-US" w:eastAsia="zh-CN"/>
        </w:rPr>
        <w:fldChar w:fldCharType="separate"/>
      </w:r>
      <w:r>
        <w:rPr>
          <w:rFonts w:hint="default"/>
          <w:sz w:val="28"/>
          <w:szCs w:val="28"/>
          <w:lang w:val="en-US" w:eastAsia="zh-CN"/>
        </w:rPr>
        <w:t>成晓叶</w:t>
      </w:r>
      <w:r>
        <w:rPr>
          <w:rFonts w:hint="default"/>
          <w:sz w:val="28"/>
          <w:szCs w:val="28"/>
          <w:lang w:val="en-US" w:eastAsia="zh-CN"/>
        </w:rPr>
        <w:fldChar w:fldCharType="end"/>
      </w:r>
      <w:r>
        <w:rPr>
          <w:rFonts w:hint="eastAsia"/>
          <w:sz w:val="28"/>
          <w:szCs w:val="28"/>
          <w:lang w:val="en-US" w:eastAsia="zh-CN"/>
        </w:rPr>
        <w:t>的论文《</w:t>
      </w:r>
      <w:r>
        <w:rPr>
          <w:rFonts w:hint="default"/>
          <w:sz w:val="28"/>
          <w:szCs w:val="28"/>
          <w:lang w:val="en-US" w:eastAsia="zh-CN"/>
        </w:rPr>
        <w:t>越南特色社会主义</w:t>
      </w:r>
      <w:r>
        <w:rPr>
          <w:rFonts w:hint="eastAsia"/>
          <w:sz w:val="28"/>
          <w:szCs w:val="28"/>
          <w:lang w:val="en-US" w:eastAsia="zh-CN"/>
        </w:rPr>
        <w:t>：</w:t>
      </w:r>
      <w:r>
        <w:rPr>
          <w:rFonts w:hint="default"/>
          <w:sz w:val="28"/>
          <w:szCs w:val="28"/>
          <w:lang w:val="en-US" w:eastAsia="zh-CN"/>
        </w:rPr>
        <w:t>历史沿革、现状分析及未来挑战</w:t>
      </w:r>
      <w:r>
        <w:rPr>
          <w:rFonts w:hint="eastAsia"/>
          <w:sz w:val="28"/>
          <w:szCs w:val="28"/>
          <w:lang w:val="en-US" w:eastAsia="zh-CN"/>
        </w:rPr>
        <w:t>》（郑州轻工业学院学报（社会科学版），</w:t>
      </w:r>
      <w:r>
        <w:rPr>
          <w:rFonts w:hint="default"/>
          <w:sz w:val="28"/>
          <w:szCs w:val="28"/>
          <w:lang w:val="en-US" w:eastAsia="zh-CN"/>
        </w:rPr>
        <w:t>2013</w:t>
      </w:r>
      <w:r>
        <w:rPr>
          <w:rFonts w:hint="eastAsia"/>
          <w:sz w:val="28"/>
          <w:szCs w:val="28"/>
          <w:lang w:val="en-US" w:eastAsia="zh-CN"/>
        </w:rPr>
        <w:t>）：</w:t>
      </w:r>
    </w:p>
    <w:p w14:paraId="54E9011D">
      <w:pPr>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b w:val="0"/>
          <w:bCs w:val="0"/>
          <w:kern w:val="2"/>
          <w:sz w:val="28"/>
          <w:szCs w:val="28"/>
          <w:lang w:val="en-US" w:eastAsia="zh-CN" w:bidi="ar-SA"/>
        </w:rPr>
      </w:pPr>
      <w:r>
        <w:rPr>
          <w:rFonts w:hint="default" w:asciiTheme="minorHAnsi" w:hAnsiTheme="minorHAnsi" w:eastAsiaTheme="minorEastAsia" w:cstheme="minorBidi"/>
          <w:b w:val="0"/>
          <w:bCs w:val="0"/>
          <w:kern w:val="2"/>
          <w:sz w:val="28"/>
          <w:szCs w:val="28"/>
          <w:lang w:val="en-US" w:eastAsia="zh-CN" w:bidi="ar-SA"/>
        </w:rPr>
        <w:t>摘要</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从历史沿革看</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越南社会主义经历了建国之初贫困潦倒、受苏联模式影响陷入停滞、受中国启发进行革新开放三个阶段。进入21世纪之后</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越南社会主义事业获得了新的发展</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总体而言</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bCs/>
          <w:kern w:val="2"/>
          <w:sz w:val="28"/>
          <w:szCs w:val="28"/>
          <w:lang w:val="en-US" w:eastAsia="zh-CN" w:bidi="ar-SA"/>
        </w:rPr>
        <w:t>越南正在努力建设具有自身特色的社会主义</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机遇与挑战并存。</w:t>
      </w:r>
    </w:p>
    <w:p w14:paraId="69F7EC53">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Times New Roman" w:hAnsi="Times New Roman" w:eastAsia="宋体" w:cs="Times New Roman"/>
          <w:i w:val="0"/>
          <w:iCs w:val="0"/>
          <w:caps w:val="0"/>
          <w:color w:val="333333"/>
          <w:spacing w:val="0"/>
          <w:sz w:val="28"/>
          <w:szCs w:val="28"/>
          <w:shd w:val="clear" w:fill="FFFFFF"/>
        </w:rPr>
      </w:pPr>
      <w:r>
        <w:rPr>
          <w:rFonts w:hint="eastAsia" w:ascii="宋体" w:hAnsi="宋体" w:eastAsia="宋体" w:cs="宋体"/>
          <w:sz w:val="28"/>
          <w:szCs w:val="28"/>
          <w:lang w:eastAsia="zh-CN"/>
        </w:rPr>
        <w:t>《</w:t>
      </w:r>
      <w:r>
        <w:rPr>
          <w:rFonts w:ascii="宋体" w:hAnsi="宋体" w:eastAsia="宋体" w:cs="宋体"/>
          <w:sz w:val="28"/>
          <w:szCs w:val="28"/>
        </w:rPr>
        <w:t>党政干部学刊</w:t>
      </w:r>
      <w:r>
        <w:rPr>
          <w:rFonts w:hint="eastAsia" w:ascii="宋体" w:hAnsi="宋体" w:eastAsia="宋体" w:cs="宋体"/>
          <w:sz w:val="28"/>
          <w:szCs w:val="28"/>
          <w:lang w:eastAsia="zh-CN"/>
        </w:rPr>
        <w:t>》</w:t>
      </w:r>
      <w:r>
        <w:rPr>
          <w:rFonts w:ascii="宋体" w:hAnsi="宋体" w:eastAsia="宋体" w:cs="宋体"/>
          <w:sz w:val="28"/>
          <w:szCs w:val="28"/>
        </w:rPr>
        <w:t>2013年第11期</w:t>
      </w:r>
      <w:r>
        <w:rPr>
          <w:rFonts w:hint="eastAsia" w:ascii="宋体" w:hAnsi="宋体" w:eastAsia="宋体" w:cs="宋体"/>
          <w:sz w:val="28"/>
          <w:szCs w:val="28"/>
          <w:lang w:val="en-US" w:eastAsia="zh-CN"/>
        </w:rPr>
        <w:t>刊发的论文《</w:t>
      </w:r>
      <w:r>
        <w:rPr>
          <w:rFonts w:ascii="宋体" w:hAnsi="宋体" w:eastAsia="宋体" w:cs="宋体"/>
          <w:sz w:val="28"/>
          <w:szCs w:val="28"/>
        </w:rPr>
        <w:t>越共十一大与建设越南特色社会主义</w:t>
      </w:r>
      <w:r>
        <w:rPr>
          <w:rFonts w:hint="eastAsia" w:ascii="宋体" w:hAnsi="宋体" w:eastAsia="宋体" w:cs="宋体"/>
          <w:sz w:val="28"/>
          <w:szCs w:val="28"/>
          <w:lang w:val="en-US" w:eastAsia="zh-CN"/>
        </w:rPr>
        <w:t>》</w:t>
      </w:r>
      <w:r>
        <w:rPr>
          <w:rFonts w:hint="eastAsia" w:ascii="宋体" w:hAnsi="宋体" w:eastAsia="宋体" w:cs="宋体"/>
          <w:sz w:val="28"/>
          <w:szCs w:val="28"/>
          <w:lang w:eastAsia="zh-CN"/>
        </w:rPr>
        <w:t>（</w:t>
      </w:r>
      <w:r>
        <w:rPr>
          <w:rFonts w:ascii="宋体" w:hAnsi="宋体" w:eastAsia="宋体" w:cs="宋体"/>
          <w:sz w:val="28"/>
          <w:szCs w:val="28"/>
        </w:rPr>
        <w:t>阮维程（NGUYENDUYTRINH）1杨晓光2（1．辽宁大学，辽宁沈阳110036</w:t>
      </w:r>
      <w:r>
        <w:rPr>
          <w:rFonts w:hint="eastAsia" w:ascii="宋体" w:hAnsi="宋体" w:eastAsia="宋体" w:cs="宋体"/>
          <w:sz w:val="28"/>
          <w:szCs w:val="28"/>
          <w:lang w:eastAsia="zh-CN"/>
        </w:rPr>
        <w:t>；</w:t>
      </w:r>
      <w:r>
        <w:rPr>
          <w:rFonts w:ascii="宋体" w:hAnsi="宋体" w:eastAsia="宋体" w:cs="宋体"/>
          <w:sz w:val="28"/>
          <w:szCs w:val="28"/>
        </w:rPr>
        <w:t>2．鞍山师范学院，辽宁鞍山114007</w:t>
      </w:r>
      <w:r>
        <w:rPr>
          <w:rFonts w:hint="eastAsia" w:ascii="宋体" w:hAnsi="宋体" w:eastAsia="宋体" w:cs="宋体"/>
          <w:sz w:val="28"/>
          <w:szCs w:val="28"/>
          <w:lang w:eastAsia="zh-CN"/>
        </w:rPr>
        <w:t>）：</w:t>
      </w:r>
    </w:p>
    <w:p w14:paraId="55A00EB4">
      <w:pPr>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b w:val="0"/>
          <w:bCs w:val="0"/>
          <w:kern w:val="2"/>
          <w:sz w:val="28"/>
          <w:szCs w:val="28"/>
          <w:lang w:val="en-US" w:eastAsia="zh-CN" w:bidi="ar-SA"/>
        </w:rPr>
      </w:pPr>
      <w:r>
        <w:rPr>
          <w:rFonts w:hint="default" w:asciiTheme="minorHAnsi" w:hAnsiTheme="minorHAnsi" w:eastAsiaTheme="minorEastAsia" w:cstheme="minorBidi"/>
          <w:b w:val="0"/>
          <w:bCs w:val="0"/>
          <w:kern w:val="2"/>
          <w:sz w:val="28"/>
          <w:szCs w:val="28"/>
          <w:lang w:val="en-US" w:eastAsia="zh-CN" w:bidi="ar-SA"/>
        </w:rPr>
        <w:t>越南共产党作为以马克思主义为指导思想的执政党，不断探索与生产力相适应的生产关系，尤其是2011年召开的越共十一大，越共根据国情，在转变经济增长方式，促进生产力发展基础上提高人们生活水平，扩大人们的民主政治权利，促进人与自然的可持续发展等方面作了重大部署，可以说越南共产党在探索</w:t>
      </w:r>
      <w:r>
        <w:rPr>
          <w:rFonts w:hint="default" w:asciiTheme="minorHAnsi" w:hAnsiTheme="minorHAnsi" w:eastAsiaTheme="minorEastAsia" w:cstheme="minorBidi"/>
          <w:b/>
          <w:bCs/>
          <w:kern w:val="2"/>
          <w:sz w:val="28"/>
          <w:szCs w:val="28"/>
          <w:lang w:val="en-US" w:eastAsia="zh-CN" w:bidi="ar-SA"/>
        </w:rPr>
        <w:t>越南特色社会主义道路</w:t>
      </w:r>
      <w:r>
        <w:rPr>
          <w:rFonts w:hint="default" w:asciiTheme="minorHAnsi" w:hAnsiTheme="minorHAnsi" w:eastAsiaTheme="minorEastAsia" w:cstheme="minorBidi"/>
          <w:b w:val="0"/>
          <w:bCs w:val="0"/>
          <w:kern w:val="2"/>
          <w:sz w:val="28"/>
          <w:szCs w:val="28"/>
          <w:lang w:val="en-US" w:eastAsia="zh-CN" w:bidi="ar-SA"/>
        </w:rPr>
        <w:t>上又向前推进了一大步</w:t>
      </w:r>
      <w:r>
        <w:rPr>
          <w:rFonts w:hint="eastAsia" w:cstheme="minorBidi"/>
          <w:b w:val="0"/>
          <w:bCs w:val="0"/>
          <w:kern w:val="2"/>
          <w:sz w:val="28"/>
          <w:szCs w:val="28"/>
          <w:lang w:val="en-US" w:eastAsia="zh-CN" w:bidi="ar-SA"/>
        </w:rPr>
        <w:t>。</w:t>
      </w:r>
    </w:p>
    <w:p w14:paraId="61DEDFFF">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lang w:eastAsia="zh-CN"/>
        </w:rPr>
        <w:t>2006年第4期《南洋问题研究》</w:t>
      </w:r>
      <w:r>
        <w:rPr>
          <w:rFonts w:hint="eastAsia" w:ascii="宋体" w:hAnsi="宋体" w:eastAsia="宋体" w:cs="宋体"/>
          <w:sz w:val="28"/>
          <w:szCs w:val="28"/>
          <w:lang w:val="en-US" w:eastAsia="zh-CN"/>
        </w:rPr>
        <w:t>刊发论文《</w:t>
      </w:r>
      <w:r>
        <w:rPr>
          <w:rFonts w:hint="eastAsia" w:ascii="宋体" w:hAnsi="宋体" w:eastAsia="宋体" w:cs="宋体"/>
          <w:sz w:val="28"/>
          <w:szCs w:val="28"/>
          <w:lang w:eastAsia="zh-CN"/>
        </w:rPr>
        <w:t>越共十大以理论革新推进具有本国特色的社会主义发展道路</w:t>
      </w:r>
      <w:r>
        <w:rPr>
          <w:rFonts w:hint="eastAsia" w:ascii="宋体" w:hAnsi="宋体" w:eastAsia="宋体" w:cs="宋体"/>
          <w:sz w:val="28"/>
          <w:szCs w:val="28"/>
          <w:lang w:val="en-US" w:eastAsia="zh-CN"/>
        </w:rPr>
        <w:t>》</w:t>
      </w:r>
      <w:r>
        <w:rPr>
          <w:rFonts w:hint="eastAsia" w:ascii="宋体" w:hAnsi="宋体" w:eastAsia="宋体" w:cs="宋体"/>
          <w:sz w:val="28"/>
          <w:szCs w:val="28"/>
          <w:lang w:eastAsia="zh-CN"/>
        </w:rPr>
        <w:t>（蔡鹏鸿，上海社会科学院亚太研究所）：</w:t>
      </w:r>
    </w:p>
    <w:p w14:paraId="1129324E">
      <w:pPr>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b w:val="0"/>
          <w:bCs w:val="0"/>
          <w:kern w:val="2"/>
          <w:sz w:val="28"/>
          <w:szCs w:val="28"/>
          <w:lang w:val="en-US" w:eastAsia="zh-CN" w:bidi="ar-SA"/>
        </w:rPr>
      </w:pPr>
      <w:r>
        <w:rPr>
          <w:rFonts w:hint="default" w:asciiTheme="minorHAnsi" w:hAnsiTheme="minorHAnsi" w:eastAsiaTheme="minorEastAsia" w:cstheme="minorBidi"/>
          <w:b w:val="0"/>
          <w:bCs w:val="0"/>
          <w:kern w:val="2"/>
          <w:sz w:val="28"/>
          <w:szCs w:val="28"/>
          <w:lang w:val="en-US" w:eastAsia="zh-CN" w:bidi="ar-SA"/>
        </w:rPr>
        <w:t>摘要：越共十大对一些理论和政策作出修改</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如下几点值得关注：一是政治体制改革提上议事日程</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称之为“越南共产党领导模式革新”</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二是党章关于党的宗旨做出微调</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维持民主概念的同时关注独立性</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强调非剥削性</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三是对党的组织成分做出重大修改</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容许党员参与私营经济活动的同时</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修改“越南共产党是工人阶级先锋队”的传统提法</w:t>
      </w:r>
      <w:r>
        <w:rPr>
          <w:rFonts w:hint="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四</w:t>
      </w:r>
      <w:r>
        <w:rPr>
          <w:rFonts w:hint="eastAsia" w:cstheme="minorBidi"/>
          <w:b w:val="0"/>
          <w:bCs w:val="0"/>
          <w:kern w:val="2"/>
          <w:sz w:val="28"/>
          <w:szCs w:val="28"/>
          <w:lang w:val="en-US" w:eastAsia="zh-CN" w:bidi="ar-SA"/>
        </w:rPr>
        <w:t>是</w:t>
      </w:r>
      <w:r>
        <w:rPr>
          <w:rFonts w:hint="default" w:asciiTheme="minorHAnsi" w:hAnsiTheme="minorHAnsi" w:eastAsiaTheme="minorEastAsia" w:cstheme="minorBidi"/>
          <w:b w:val="0"/>
          <w:bCs w:val="0"/>
          <w:kern w:val="2"/>
          <w:sz w:val="28"/>
          <w:szCs w:val="28"/>
          <w:lang w:val="en-US" w:eastAsia="zh-CN" w:bidi="ar-SA"/>
        </w:rPr>
        <w:t>提出了“进一步完善社会主义方向的市场经济体制”的要求。</w:t>
      </w:r>
    </w:p>
    <w:p w14:paraId="2EB7FA85">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default" w:ascii="宋体" w:hAnsi="宋体" w:eastAsia="宋体" w:cs="宋体"/>
          <w:sz w:val="28"/>
          <w:szCs w:val="28"/>
          <w:lang w:eastAsia="zh-CN"/>
        </w:rPr>
        <w:t>瞿健文主编</w:t>
      </w:r>
      <w:r>
        <w:rPr>
          <w:rFonts w:hint="eastAsia" w:ascii="宋体" w:hAnsi="宋体" w:eastAsia="宋体" w:cs="宋体"/>
          <w:sz w:val="28"/>
          <w:szCs w:val="28"/>
          <w:lang w:eastAsia="zh-CN"/>
        </w:rPr>
        <w:t>的</w:t>
      </w:r>
      <w:r>
        <w:rPr>
          <w:rFonts w:hint="default" w:ascii="宋体" w:hAnsi="宋体" w:eastAsia="宋体" w:cs="宋体"/>
          <w:sz w:val="28"/>
          <w:szCs w:val="28"/>
          <w:lang w:eastAsia="zh-CN"/>
        </w:rPr>
        <w:fldChar w:fldCharType="begin"/>
      </w:r>
      <w:r>
        <w:rPr>
          <w:rFonts w:hint="default" w:ascii="宋体" w:hAnsi="宋体" w:eastAsia="宋体" w:cs="宋体"/>
          <w:sz w:val="28"/>
          <w:szCs w:val="28"/>
          <w:lang w:eastAsia="zh-CN"/>
        </w:rPr>
        <w:instrText xml:space="preserve"> HYPERLINK "https://book.duxiu.com/bookDetail.jsp?dxNumber=000006553677&amp;d=877E33F57511B205E464DDA4EB4D5602" \t "http://www.junshilei.cn/n/dsrqw/book/base/12747609/cbb11bd3dff04b92a1fd47f254bb70dd/_blank" </w:instrText>
      </w:r>
      <w:r>
        <w:rPr>
          <w:rFonts w:hint="default" w:ascii="宋体" w:hAnsi="宋体" w:eastAsia="宋体" w:cs="宋体"/>
          <w:sz w:val="28"/>
          <w:szCs w:val="28"/>
          <w:lang w:eastAsia="zh-CN"/>
        </w:rPr>
        <w:fldChar w:fldCharType="separate"/>
      </w:r>
      <w:r>
        <w:rPr>
          <w:rFonts w:hint="default" w:ascii="宋体" w:hAnsi="宋体" w:eastAsia="宋体" w:cs="宋体"/>
          <w:sz w:val="28"/>
          <w:szCs w:val="28"/>
          <w:lang w:eastAsia="zh-CN"/>
        </w:rPr>
        <w:t>《GMS研究2007》</w:t>
      </w:r>
      <w:r>
        <w:rPr>
          <w:rFonts w:hint="default" w:ascii="宋体" w:hAnsi="宋体" w:eastAsia="宋体" w:cs="宋体"/>
          <w:sz w:val="28"/>
          <w:szCs w:val="28"/>
          <w:lang w:eastAsia="zh-CN"/>
        </w:rPr>
        <w:fldChar w:fldCharType="end"/>
      </w:r>
      <w:r>
        <w:rPr>
          <w:rFonts w:hint="default" w:ascii="宋体" w:hAnsi="宋体" w:eastAsia="宋体" w:cs="宋体"/>
          <w:sz w:val="28"/>
          <w:szCs w:val="28"/>
          <w:lang w:eastAsia="zh-CN"/>
        </w:rPr>
        <w:t>218页</w:t>
      </w:r>
      <w:r>
        <w:rPr>
          <w:rFonts w:hint="eastAsia" w:ascii="宋体" w:hAnsi="宋体" w:eastAsia="宋体" w:cs="宋体"/>
          <w:sz w:val="28"/>
          <w:szCs w:val="28"/>
          <w:lang w:eastAsia="zh-CN"/>
        </w:rPr>
        <w:t>：</w:t>
      </w:r>
    </w:p>
    <w:p w14:paraId="4CF14552">
      <w:pPr>
        <w:keepNext w:val="0"/>
        <w:keepLines w:val="0"/>
        <w:pageBreakBefore w:val="0"/>
        <w:widowControl/>
        <w:suppressLineNumbers w:val="0"/>
        <w:shd w:val="clear" w:fill="FFFFFF"/>
        <w:kinsoku/>
        <w:wordWrap/>
        <w:overflowPunct/>
        <w:topLinePunct w:val="0"/>
        <w:autoSpaceDE/>
        <w:autoSpaceDN/>
        <w:bidi w:val="0"/>
        <w:adjustRightInd/>
        <w:snapToGrid/>
        <w:spacing w:before="313" w:beforeLines="100" w:after="313" w:afterLines="100" w:afterAutospacing="0" w:line="240" w:lineRule="auto"/>
        <w:ind w:left="840" w:leftChars="400" w:right="840" w:rightChars="400" w:firstLine="0"/>
        <w:jc w:val="left"/>
        <w:textAlignment w:val="auto"/>
        <w:rPr>
          <w:rFonts w:hint="default" w:asciiTheme="minorHAnsi" w:hAnsiTheme="minorHAnsi" w:eastAsiaTheme="minorEastAsia" w:cstheme="minorBidi"/>
          <w:b w:val="0"/>
          <w:bCs w:val="0"/>
          <w:kern w:val="2"/>
          <w:sz w:val="28"/>
          <w:szCs w:val="28"/>
          <w:lang w:val="en-US" w:eastAsia="zh-CN" w:bidi="ar-SA"/>
        </w:rPr>
      </w:pPr>
      <w:r>
        <w:rPr>
          <w:rFonts w:hint="default" w:asciiTheme="minorHAnsi" w:hAnsiTheme="minorHAnsi" w:eastAsiaTheme="minorEastAsia" w:cstheme="minorBidi"/>
          <w:b w:val="0"/>
          <w:bCs w:val="0"/>
          <w:kern w:val="2"/>
          <w:sz w:val="28"/>
          <w:szCs w:val="28"/>
          <w:lang w:val="en-US" w:eastAsia="zh-CN" w:bidi="ar-SA"/>
        </w:rPr>
        <w:t>引言</w:t>
      </w:r>
      <w:r>
        <w:rPr>
          <w:rFonts w:hint="eastAsia" w:asciiTheme="minorHAnsi" w:hAnsiTheme="minorHAnsi" w:eastAsiaTheme="minor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越南共产党于2006年4月18－25日在河内举行了第十次全国代表大会</w:t>
      </w:r>
      <w:r>
        <w:rPr>
          <w:rFonts w:hint="eastAsia" w:asciiTheme="minorHAnsi" w:hAnsiTheme="minorHAnsi" w:eastAsiaTheme="minor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它的重要意义在于通过理论革新推进具有</w:t>
      </w:r>
      <w:r>
        <w:rPr>
          <w:rFonts w:hint="default" w:asciiTheme="minorHAnsi" w:hAnsiTheme="minorHAnsi" w:eastAsiaTheme="minorEastAsia" w:cstheme="minorBidi"/>
          <w:b/>
          <w:bCs/>
          <w:kern w:val="2"/>
          <w:sz w:val="28"/>
          <w:szCs w:val="28"/>
          <w:lang w:val="en-US" w:eastAsia="zh-CN" w:bidi="ar-SA"/>
        </w:rPr>
        <w:t>越南特色</w:t>
      </w:r>
      <w:r>
        <w:rPr>
          <w:rFonts w:hint="default" w:asciiTheme="minorHAnsi" w:hAnsiTheme="minorHAnsi" w:eastAsiaTheme="minorEastAsia" w:cstheme="minorBidi"/>
          <w:b w:val="0"/>
          <w:bCs w:val="0"/>
          <w:kern w:val="2"/>
          <w:sz w:val="28"/>
          <w:szCs w:val="28"/>
          <w:lang w:val="en-US" w:eastAsia="zh-CN" w:bidi="ar-SA"/>
        </w:rPr>
        <w:t>的社会主义革新与发展道路。</w:t>
      </w:r>
    </w:p>
    <w:p w14:paraId="0B2D31C5">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那么，越南特色本质究竟是什么呢？是特色社会主义呢？还是特色资本主义呢？</w:t>
      </w:r>
    </w:p>
    <w:p w14:paraId="048EC210">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本文拟从经济基础、上层建筑与财富分配</w:t>
      </w:r>
      <w:r>
        <w:rPr>
          <w:rFonts w:ascii="Helvetica" w:hAnsi="Helvetica" w:eastAsia="Helvetica" w:cs="Helvetica"/>
          <w:i w:val="0"/>
          <w:iCs w:val="0"/>
          <w:caps w:val="0"/>
          <w:spacing w:val="7"/>
          <w:sz w:val="20"/>
          <w:szCs w:val="20"/>
        </w:rPr>
        <w:t>、</w:t>
      </w:r>
      <w:r>
        <w:rPr>
          <w:rFonts w:hint="eastAsia" w:ascii="宋体" w:hAnsi="宋体" w:eastAsia="宋体" w:cs="宋体"/>
          <w:sz w:val="28"/>
          <w:szCs w:val="28"/>
          <w:lang w:val="en-US" w:eastAsia="zh-CN"/>
        </w:rPr>
        <w:t>与主要资本主义国家法国对比</w:t>
      </w:r>
      <w:r>
        <w:rPr>
          <w:rFonts w:hint="default" w:ascii="宋体" w:hAnsi="宋体" w:eastAsia="宋体" w:cs="宋体"/>
          <w:sz w:val="28"/>
          <w:szCs w:val="28"/>
          <w:lang w:val="en-US" w:eastAsia="zh-CN"/>
        </w:rPr>
        <w:t>等四个方面</w:t>
      </w:r>
      <w:r>
        <w:rPr>
          <w:rFonts w:hint="eastAsia" w:ascii="宋体" w:hAnsi="宋体" w:eastAsia="宋体" w:cs="宋体"/>
          <w:sz w:val="28"/>
          <w:szCs w:val="28"/>
          <w:lang w:val="en-US" w:eastAsia="zh-CN"/>
        </w:rPr>
        <w:t>用数据来说明。</w:t>
      </w:r>
    </w:p>
    <w:p w14:paraId="3E70D8B6">
      <w:pPr>
        <w:keepNext w:val="0"/>
        <w:keepLines w:val="0"/>
        <w:pageBreakBefore w:val="0"/>
        <w:kinsoku/>
        <w:wordWrap/>
        <w:overflowPunct/>
        <w:topLinePunct w:val="0"/>
        <w:autoSpaceDE/>
        <w:autoSpaceDN/>
        <w:bidi w:val="0"/>
        <w:adjustRightInd/>
        <w:snapToGrid/>
        <w:spacing w:before="313" w:beforeLines="100" w:after="313" w:afterLines="100" w:line="240" w:lineRule="auto"/>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一、经济基础</w:t>
      </w:r>
    </w:p>
    <w:p w14:paraId="2BAC9CD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ascii="Helvetica" w:hAnsi="Helvetica" w:eastAsia="宋体" w:cs="Helvetica"/>
          <w:b w:val="0"/>
          <w:bCs w:val="0"/>
          <w:i w:val="0"/>
          <w:iCs w:val="0"/>
          <w:caps w:val="0"/>
          <w:spacing w:val="7"/>
          <w:sz w:val="28"/>
          <w:szCs w:val="28"/>
          <w:shd w:val="clear" w:fill="FFFFFF"/>
          <w:lang w:eastAsia="zh-CN"/>
        </w:rPr>
      </w:pPr>
      <w:r>
        <w:rPr>
          <w:rFonts w:ascii="Helvetica" w:hAnsi="Helvetica" w:eastAsia="Helvetica" w:cs="Helvetica"/>
          <w:b w:val="0"/>
          <w:bCs w:val="0"/>
          <w:i w:val="0"/>
          <w:iCs w:val="0"/>
          <w:caps w:val="0"/>
          <w:spacing w:val="7"/>
          <w:sz w:val="28"/>
          <w:szCs w:val="28"/>
          <w:shd w:val="clear" w:fill="FFFFFF"/>
        </w:rPr>
        <w:t>根据越通社</w:t>
      </w:r>
      <w:r>
        <w:rPr>
          <w:rFonts w:hint="eastAsia" w:ascii="Helvetica" w:hAnsi="Helvetica" w:eastAsia="宋体" w:cs="Helvetica"/>
          <w:b w:val="0"/>
          <w:bCs w:val="0"/>
          <w:i w:val="0"/>
          <w:iCs w:val="0"/>
          <w:caps w:val="0"/>
          <w:spacing w:val="7"/>
          <w:sz w:val="28"/>
          <w:szCs w:val="28"/>
          <w:shd w:val="clear" w:fill="FFFFFF"/>
          <w:lang w:eastAsia="zh-CN"/>
        </w:rPr>
        <w:t>：</w:t>
      </w:r>
    </w:p>
    <w:p w14:paraId="391B5F4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网址：https://link.gov.vn/B51j6dT5</w:t>
      </w:r>
    </w:p>
    <w:p w14:paraId="6C5BE660">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越南非国有企业和外资企业数量和职工人数猛增，然而，国有企业确明显下降。这是统计总局日前发布的2021年经济普查结果的内容之一。</w:t>
      </w:r>
    </w:p>
    <w:p w14:paraId="0914446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具体的是，截至2020年12月31日，</w:t>
      </w:r>
      <w:r>
        <w:rPr>
          <w:rFonts w:hint="default" w:ascii="Helvetica" w:hAnsi="Helvetica" w:eastAsia="Helvetica" w:cs="Helvetica"/>
          <w:b/>
          <w:bCs/>
          <w:i w:val="0"/>
          <w:iCs w:val="0"/>
          <w:caps w:val="0"/>
          <w:color w:val="851321"/>
          <w:spacing w:val="7"/>
          <w:sz w:val="28"/>
          <w:szCs w:val="28"/>
          <w:u w:val="none"/>
          <w:shd w:val="clear" w:fill="FFFFFF"/>
        </w:rPr>
        <w:t>非国有企业</w:t>
      </w:r>
      <w:r>
        <w:rPr>
          <w:rFonts w:hint="default" w:ascii="Helvetica" w:hAnsi="Helvetica" w:eastAsia="Helvetica" w:cs="Helvetica"/>
          <w:b/>
          <w:bCs/>
          <w:i w:val="0"/>
          <w:iCs w:val="0"/>
          <w:caps w:val="0"/>
          <w:color w:val="851321"/>
          <w:spacing w:val="7"/>
          <w:sz w:val="28"/>
          <w:szCs w:val="28"/>
          <w:shd w:val="clear" w:fill="FFFFFF"/>
        </w:rPr>
        <w:t>数量和职工人数最多，企业数量达66.01万家，占全国企业总数量的96.4%，</w:t>
      </w:r>
      <w:r>
        <w:rPr>
          <w:rFonts w:hint="default" w:ascii="Helvetica" w:hAnsi="Helvetica" w:eastAsia="Helvetica" w:cs="Helvetica"/>
          <w:b w:val="0"/>
          <w:bCs w:val="0"/>
          <w:i w:val="0"/>
          <w:iCs w:val="0"/>
          <w:caps w:val="0"/>
          <w:spacing w:val="7"/>
          <w:sz w:val="28"/>
          <w:szCs w:val="28"/>
          <w:shd w:val="clear" w:fill="FFFFFF"/>
        </w:rPr>
        <w:t>比2016年增了长35.1%；职工人数860万人次，占全国职工总数的58.6%，比2016年增长了0.4%。</w:t>
      </w:r>
    </w:p>
    <w:p w14:paraId="010A258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FDI企业数量增长最快，达2.22万家，占全国企业总数量的3.3%，比2016年增长了58.8%，吸引职工510万人次，占34.6%，与2016年相比增长22.5%。</w:t>
      </w:r>
    </w:p>
    <w:p w14:paraId="11FEA86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由于国家股权分制改革，国有企业数量在各方面均呈下降势头。</w:t>
      </w:r>
      <w:r>
        <w:rPr>
          <w:rFonts w:hint="default" w:ascii="Helvetica" w:hAnsi="Helvetica" w:eastAsia="Helvetica" w:cs="Helvetica"/>
          <w:b/>
          <w:bCs/>
          <w:i w:val="0"/>
          <w:iCs w:val="0"/>
          <w:caps w:val="0"/>
          <w:color w:val="851321"/>
          <w:spacing w:val="7"/>
          <w:sz w:val="28"/>
          <w:szCs w:val="28"/>
          <w:shd w:val="clear" w:fill="FFFFFF"/>
        </w:rPr>
        <w:t>截至2020年12月31日，国有企业数量仅为1963家，占全国企业总数的0.3%，职工人数100万人次，占全国职工总数的6.8%，较2016年下降了21.8%。</w:t>
      </w:r>
    </w:p>
    <w:p w14:paraId="69C2CB9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shd w:val="clear" w:fill="FFFFFF"/>
        </w:rPr>
        <w:t>根据中华人民共和国商务部数据：</w:t>
      </w:r>
    </w:p>
    <w:p w14:paraId="73332DEE">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网址：</w:t>
      </w:r>
    </w:p>
    <w:p w14:paraId="648F9B67">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http://hochiminh.mofcom.gov.cn/article/jmxw/202204/20220403307350.shtml</w:t>
      </w:r>
    </w:p>
    <w:p w14:paraId="37AA0EB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越南目前有国有控股企业807家</w:t>
      </w:r>
    </w:p>
    <w:p w14:paraId="3AACA366">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越南《投资报》4月25日报道，越南政府2021年10月12日发布的第399号报告称，越南国有资本占法定资金在50%以上的国有控股企业共有807家。</w:t>
      </w:r>
    </w:p>
    <w:p w14:paraId="5594C58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今年一季度国有企业投资达13.4万亿越盾（约合5.8亿美元），与此同时，私营企业投资达323.1万亿越盾（约合141.5亿美元），外资企业投资达102.6万亿越盾（约合45亿美元）。</w:t>
      </w:r>
    </w:p>
    <w:p w14:paraId="176400E5">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驻胡志明市总领馆经商处</w:t>
      </w:r>
    </w:p>
    <w:p w14:paraId="5FE30CC5">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根据上述两个资料渠道，国有企业数量：2020年12月31日为1963家（越通社，</w:t>
      </w:r>
      <w:r>
        <w:rPr>
          <w:rFonts w:hint="default" w:ascii="宋体" w:hAnsi="宋体" w:eastAsia="宋体" w:cs="宋体"/>
          <w:sz w:val="28"/>
          <w:szCs w:val="28"/>
          <w:lang w:val="en-US" w:eastAsia="zh-CN"/>
        </w:rPr>
        <w:t>经济普查</w:t>
      </w:r>
      <w:r>
        <w:rPr>
          <w:rFonts w:hint="eastAsia" w:ascii="宋体" w:hAnsi="宋体" w:eastAsia="宋体" w:cs="宋体"/>
          <w:sz w:val="28"/>
          <w:szCs w:val="28"/>
          <w:lang w:val="en-US" w:eastAsia="zh-CN"/>
        </w:rPr>
        <w:t>）；2021年10月22日为807家（中国商务部引用</w:t>
      </w:r>
      <w:r>
        <w:rPr>
          <w:rFonts w:hint="default" w:ascii="宋体" w:hAnsi="宋体" w:eastAsia="宋体" w:cs="宋体"/>
          <w:sz w:val="28"/>
          <w:szCs w:val="28"/>
          <w:lang w:val="en-US" w:eastAsia="zh-CN"/>
        </w:rPr>
        <w:t>越南政府</w:t>
      </w:r>
      <w:r>
        <w:rPr>
          <w:rFonts w:hint="eastAsia" w:ascii="宋体" w:hAnsi="宋体" w:eastAsia="宋体" w:cs="宋体"/>
          <w:sz w:val="28"/>
          <w:szCs w:val="28"/>
          <w:lang w:val="en-US" w:eastAsia="zh-CN"/>
        </w:rPr>
        <w:t>发布数据）。我们姑且按照1963家。</w:t>
      </w:r>
    </w:p>
    <w:p w14:paraId="115AB663">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shd w:val="clear" w:fill="FFFFFF"/>
        </w:rPr>
        <w:t>有四个数据：</w:t>
      </w:r>
    </w:p>
    <w:p w14:paraId="06BACCB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color w:val="851321"/>
          <w:spacing w:val="7"/>
          <w:sz w:val="28"/>
          <w:szCs w:val="28"/>
          <w:shd w:val="clear" w:fill="FFFFFF"/>
        </w:rPr>
        <w:t>1、国有企业数量仅为1963家，占全国企业总数的0.3%</w:t>
      </w:r>
    </w:p>
    <w:p w14:paraId="41959C5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color w:val="851321"/>
          <w:spacing w:val="7"/>
          <w:sz w:val="28"/>
          <w:szCs w:val="28"/>
          <w:shd w:val="clear" w:fill="FFFFFF"/>
        </w:rPr>
        <w:t>2、（国有企业）职工人数100万人次，占全国职工总数的6.8%，较2016年下降了21.8%。</w:t>
      </w:r>
    </w:p>
    <w:p w14:paraId="27C430D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bCs/>
          <w:i w:val="0"/>
          <w:iCs w:val="0"/>
          <w:caps w:val="0"/>
          <w:color w:val="851321"/>
          <w:spacing w:val="7"/>
          <w:sz w:val="28"/>
          <w:szCs w:val="28"/>
          <w:shd w:val="clear" w:fill="FFFFFF"/>
        </w:rPr>
        <w:t>3、</w:t>
      </w:r>
      <w:r>
        <w:rPr>
          <w:rFonts w:hint="default" w:ascii="Helvetica" w:hAnsi="Helvetica" w:eastAsia="Helvetica" w:cs="Helvetica"/>
          <w:b/>
          <w:bCs/>
          <w:i w:val="0"/>
          <w:iCs w:val="0"/>
          <w:caps w:val="0"/>
          <w:color w:val="851321"/>
          <w:spacing w:val="7"/>
          <w:sz w:val="28"/>
          <w:szCs w:val="28"/>
          <w:u w:val="none"/>
          <w:shd w:val="clear" w:fill="FFFFFF"/>
        </w:rPr>
        <w:t>非国有企业</w:t>
      </w:r>
      <w:r>
        <w:rPr>
          <w:rFonts w:hint="default" w:ascii="Helvetica" w:hAnsi="Helvetica" w:eastAsia="Helvetica" w:cs="Helvetica"/>
          <w:b/>
          <w:bCs/>
          <w:i w:val="0"/>
          <w:iCs w:val="0"/>
          <w:caps w:val="0"/>
          <w:color w:val="851321"/>
          <w:spacing w:val="7"/>
          <w:sz w:val="28"/>
          <w:szCs w:val="28"/>
          <w:shd w:val="clear" w:fill="FFFFFF"/>
        </w:rPr>
        <w:t>数量和职工人数最多，企业数量达66.01万家，占全国企业总数量的96.4%，比2016年增了长35.1%</w:t>
      </w:r>
    </w:p>
    <w:p w14:paraId="77555EF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4、一季度国有企业投资达13.4万亿越盾（约合5.8亿美元），与此同时，私营企业投资达323.1万亿越盾（约合141.5亿美元），外资企业投资达102.6万亿越盾（约合45亿美元）。</w:t>
      </w:r>
    </w:p>
    <w:p w14:paraId="4188D1D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Helvetica" w:hAnsi="Helvetica" w:eastAsia="Helvetica" w:cs="Helvetica"/>
          <w:b w:val="0"/>
          <w:bCs w:val="0"/>
          <w:i w:val="0"/>
          <w:iCs w:val="0"/>
          <w:caps w:val="0"/>
          <w:spacing w:val="7"/>
          <w:sz w:val="28"/>
          <w:szCs w:val="28"/>
          <w:shd w:val="clear" w:fill="FFFFFF"/>
        </w:rPr>
      </w:pPr>
      <w:r>
        <w:rPr>
          <w:rFonts w:hint="default" w:ascii="Helvetica" w:hAnsi="Helvetica" w:eastAsia="Helvetica" w:cs="Helvetica"/>
          <w:b w:val="0"/>
          <w:bCs w:val="0"/>
          <w:i w:val="0"/>
          <w:iCs w:val="0"/>
          <w:caps w:val="0"/>
          <w:spacing w:val="7"/>
          <w:sz w:val="28"/>
          <w:szCs w:val="28"/>
          <w:shd w:val="clear" w:fill="FFFFFF"/>
        </w:rPr>
        <w:t>上图更直观（红色为国有）。</w:t>
      </w:r>
    </w:p>
    <w:p w14:paraId="54A68989">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default" w:ascii="Helvetica" w:hAnsi="Helvetica" w:eastAsia="Helvetica" w:cs="Helvetica"/>
          <w:b w:val="0"/>
          <w:bCs w:val="0"/>
          <w:i w:val="0"/>
          <w:iCs w:val="0"/>
          <w:caps w:val="0"/>
          <w:spacing w:val="7"/>
          <w:sz w:val="28"/>
          <w:szCs w:val="28"/>
          <w:shd w:val="clear" w:fill="FFFFFF"/>
        </w:rPr>
      </w:pPr>
      <w:r>
        <w:rPr>
          <w:rFonts w:ascii="Helvetica" w:hAnsi="Helvetica" w:eastAsia="Helvetica" w:cs="Helvetica"/>
          <w:i w:val="0"/>
          <w:iCs w:val="0"/>
          <w:caps w:val="0"/>
          <w:spacing w:val="7"/>
          <w:sz w:val="28"/>
          <w:szCs w:val="28"/>
          <w:shd w:val="clear" w:fill="FFFFFF"/>
        </w:rPr>
        <w:t>1、企业数量与占比</w:t>
      </w:r>
    </w:p>
    <w:p w14:paraId="537B7EB3">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ascii="宋体" w:hAnsi="宋体" w:eastAsia="宋体" w:cs="宋体"/>
          <w:sz w:val="28"/>
          <w:szCs w:val="28"/>
        </w:rPr>
      </w:pPr>
      <w:r>
        <w:rPr>
          <w:rFonts w:ascii="宋体" w:hAnsi="宋体" w:eastAsia="宋体" w:cs="宋体"/>
          <w:sz w:val="28"/>
          <w:szCs w:val="28"/>
        </w:rPr>
        <w:drawing>
          <wp:inline distT="0" distB="0" distL="114300" distR="114300">
            <wp:extent cx="5372100" cy="2857500"/>
            <wp:effectExtent l="0" t="0" r="762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372100" cy="2857500"/>
                    </a:xfrm>
                    <a:prstGeom prst="rect">
                      <a:avLst/>
                    </a:prstGeom>
                    <a:noFill/>
                    <a:ln w="9525">
                      <a:noFill/>
                    </a:ln>
                  </pic:spPr>
                </pic:pic>
              </a:graphicData>
            </a:graphic>
          </wp:inline>
        </w:drawing>
      </w:r>
    </w:p>
    <w:p w14:paraId="34226886">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ascii="宋体" w:hAnsi="宋体" w:eastAsia="宋体" w:cs="宋体"/>
          <w:sz w:val="28"/>
          <w:szCs w:val="28"/>
        </w:rPr>
      </w:pPr>
      <w:r>
        <w:drawing>
          <wp:inline distT="0" distB="0" distL="114300" distR="114300">
            <wp:extent cx="5196840" cy="3638550"/>
            <wp:effectExtent l="0" t="0" r="0" b="3810"/>
            <wp:docPr id="24"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0473C8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shd w:val="clear" w:fill="FFFFFF"/>
        </w:rPr>
        <w:t>2、职工占比：</w:t>
      </w:r>
    </w:p>
    <w:p w14:paraId="0683B8C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drawing>
          <wp:inline distT="0" distB="0" distL="114300" distR="114300">
            <wp:extent cx="3510280" cy="3138805"/>
            <wp:effectExtent l="0" t="0" r="10160" b="63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tretch>
                      <a:fillRect/>
                    </a:stretch>
                  </pic:blipFill>
                  <pic:spPr>
                    <a:xfrm>
                      <a:off x="0" y="0"/>
                      <a:ext cx="3510280" cy="3138805"/>
                    </a:xfrm>
                    <a:prstGeom prst="rect">
                      <a:avLst/>
                    </a:prstGeom>
                    <a:noFill/>
                    <a:ln w="9525">
                      <a:noFill/>
                    </a:ln>
                  </pic:spPr>
                </pic:pic>
              </a:graphicData>
            </a:graphic>
          </wp:inline>
        </w:drawing>
      </w:r>
    </w:p>
    <w:p w14:paraId="5ABDA3BF">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273040" cy="3562985"/>
            <wp:effectExtent l="0" t="0" r="0" b="3175"/>
            <wp:docPr id="27" name="图片 27" descr="72822b0bf7e3b6c374201ac36995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72822b0bf7e3b6c374201ac3699553d"/>
                    <pic:cNvPicPr>
                      <a:picLocks noChangeAspect="1"/>
                    </pic:cNvPicPr>
                  </pic:nvPicPr>
                  <pic:blipFill>
                    <a:blip r:embed="rId7"/>
                    <a:stretch>
                      <a:fillRect/>
                    </a:stretch>
                  </pic:blipFill>
                  <pic:spPr>
                    <a:xfrm>
                      <a:off x="0" y="0"/>
                      <a:ext cx="5273040" cy="3562985"/>
                    </a:xfrm>
                    <a:prstGeom prst="rect">
                      <a:avLst/>
                    </a:prstGeom>
                  </pic:spPr>
                </pic:pic>
              </a:graphicData>
            </a:graphic>
          </wp:inline>
        </w:drawing>
      </w:r>
    </w:p>
    <w:p w14:paraId="7BE57572">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shd w:val="clear" w:fill="FFFFFF"/>
        </w:rPr>
        <w:t>3、</w:t>
      </w:r>
      <w:r>
        <w:rPr>
          <w:rFonts w:hint="default" w:ascii="Helvetica" w:hAnsi="Helvetica" w:eastAsia="Helvetica" w:cs="Helvetica"/>
          <w:b w:val="0"/>
          <w:bCs w:val="0"/>
          <w:i w:val="0"/>
          <w:iCs w:val="0"/>
          <w:caps w:val="0"/>
          <w:spacing w:val="7"/>
          <w:sz w:val="28"/>
          <w:szCs w:val="28"/>
          <w:shd w:val="clear" w:fill="FFFFFF"/>
        </w:rPr>
        <w:t>投资金额（2021年一季度）：</w:t>
      </w:r>
    </w:p>
    <w:p w14:paraId="2A179CA8">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drawing>
          <wp:inline distT="0" distB="0" distL="114300" distR="114300">
            <wp:extent cx="4295775" cy="2838450"/>
            <wp:effectExtent l="0" t="0" r="1905" b="11430"/>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8"/>
                    <a:stretch>
                      <a:fillRect/>
                    </a:stretch>
                  </pic:blipFill>
                  <pic:spPr>
                    <a:xfrm>
                      <a:off x="0" y="0"/>
                      <a:ext cx="4295775" cy="2838450"/>
                    </a:xfrm>
                    <a:prstGeom prst="rect">
                      <a:avLst/>
                    </a:prstGeom>
                    <a:noFill/>
                    <a:ln w="9525">
                      <a:noFill/>
                    </a:ln>
                  </pic:spPr>
                </pic:pic>
              </a:graphicData>
            </a:graphic>
          </wp:inline>
        </w:drawing>
      </w:r>
    </w:p>
    <w:p w14:paraId="03038ACD">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drawing>
          <wp:inline distT="0" distB="0" distL="114300" distR="114300">
            <wp:extent cx="4762500" cy="3324225"/>
            <wp:effectExtent l="0" t="0" r="7620" b="13335"/>
            <wp:docPr id="6" name="图片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57"/>
                    <pic:cNvPicPr>
                      <a:picLocks noChangeAspect="1"/>
                    </pic:cNvPicPr>
                  </pic:nvPicPr>
                  <pic:blipFill>
                    <a:blip r:embed="rId9"/>
                    <a:stretch>
                      <a:fillRect/>
                    </a:stretch>
                  </pic:blipFill>
                  <pic:spPr>
                    <a:xfrm>
                      <a:off x="0" y="0"/>
                      <a:ext cx="4762500" cy="3324225"/>
                    </a:xfrm>
                    <a:prstGeom prst="rect">
                      <a:avLst/>
                    </a:prstGeom>
                    <a:noFill/>
                    <a:ln w="9525">
                      <a:noFill/>
                    </a:ln>
                  </pic:spPr>
                </pic:pic>
              </a:graphicData>
            </a:graphic>
          </wp:inline>
        </w:drawing>
      </w:r>
    </w:p>
    <w:p w14:paraId="0BE8EB31">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center"/>
        <w:textAlignment w:val="auto"/>
        <w:rPr>
          <w:rFonts w:hint="eastAsia" w:ascii="Microsoft YaHei UI" w:hAnsi="Microsoft YaHei UI" w:eastAsia="Microsoft YaHei UI" w:cs="Microsoft YaHei UI"/>
          <w:i w:val="0"/>
          <w:iCs w:val="0"/>
          <w:caps w:val="0"/>
          <w:spacing w:val="7"/>
          <w:sz w:val="28"/>
          <w:szCs w:val="28"/>
          <w:lang w:eastAsia="zh-CN"/>
        </w:rPr>
      </w:pPr>
      <w:r>
        <w:rPr>
          <w:rFonts w:hint="eastAsia" w:ascii="Microsoft YaHei UI" w:hAnsi="Microsoft YaHei UI" w:eastAsia="Microsoft YaHei UI" w:cs="Microsoft YaHei UI"/>
          <w:i w:val="0"/>
          <w:iCs w:val="0"/>
          <w:caps w:val="0"/>
          <w:spacing w:val="7"/>
          <w:sz w:val="28"/>
          <w:szCs w:val="28"/>
          <w:lang w:eastAsia="zh-CN"/>
        </w:rPr>
        <w:drawing>
          <wp:inline distT="0" distB="0" distL="114300" distR="114300">
            <wp:extent cx="5271135" cy="3670300"/>
            <wp:effectExtent l="0" t="0" r="1905" b="2540"/>
            <wp:docPr id="26" name="图片 26" descr="2dc457bad87567b9c2a65624ddf1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dc457bad87567b9c2a65624ddf1da2"/>
                    <pic:cNvPicPr>
                      <a:picLocks noChangeAspect="1"/>
                    </pic:cNvPicPr>
                  </pic:nvPicPr>
                  <pic:blipFill>
                    <a:blip r:embed="rId10"/>
                    <a:stretch>
                      <a:fillRect/>
                    </a:stretch>
                  </pic:blipFill>
                  <pic:spPr>
                    <a:xfrm>
                      <a:off x="0" y="0"/>
                      <a:ext cx="5271135" cy="3670300"/>
                    </a:xfrm>
                    <a:prstGeom prst="rect">
                      <a:avLst/>
                    </a:prstGeom>
                  </pic:spPr>
                </pic:pic>
              </a:graphicData>
            </a:graphic>
          </wp:inline>
        </w:drawing>
      </w:r>
    </w:p>
    <w:p w14:paraId="005632D1">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下述数据（4-8）为中国</w:t>
      </w: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"http://hochiminh.mofcom.gov.cn/article/jmxw/202010/20201003007731.shtml" \t "http://m.mofcom.gov.cn/article/i/jyjl/j/202010/_blank"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驻胡志明市总领事馆经济商务处</w:t>
      </w:r>
      <w:r>
        <w:rPr>
          <w:rFonts w:hint="eastAsia" w:ascii="宋体" w:hAnsi="宋体" w:eastAsia="宋体" w:cs="宋体"/>
          <w:sz w:val="28"/>
          <w:szCs w:val="28"/>
          <w:lang w:val="en-US" w:eastAsia="zh-CN"/>
        </w:rPr>
        <w:fldChar w:fldCharType="end"/>
      </w:r>
      <w:r>
        <w:rPr>
          <w:rFonts w:hint="eastAsia" w:ascii="宋体" w:hAnsi="宋体" w:eastAsia="宋体" w:cs="宋体"/>
          <w:sz w:val="28"/>
          <w:szCs w:val="28"/>
          <w:lang w:val="en-US" w:eastAsia="zh-CN"/>
        </w:rPr>
        <w:t>。</w:t>
      </w:r>
    </w:p>
    <w:p w14:paraId="5FD81C49">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网址：</w:t>
      </w:r>
    </w:p>
    <w:p w14:paraId="5C0BE11F">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微软雅黑" w:hAnsi="微软雅黑" w:eastAsia="微软雅黑" w:cs="微软雅黑"/>
          <w:i w:val="0"/>
          <w:iCs w:val="0"/>
          <w:caps w:val="0"/>
          <w:color w:val="000000"/>
          <w:spacing w:val="0"/>
          <w:sz w:val="18"/>
          <w:szCs w:val="18"/>
          <w:u w:val="none"/>
        </w:rPr>
      </w:pPr>
      <w:r>
        <w:rPr>
          <w:rFonts w:hint="eastAsia" w:ascii="宋体" w:hAnsi="宋体" w:eastAsia="宋体" w:cs="宋体"/>
          <w:sz w:val="28"/>
          <w:szCs w:val="28"/>
          <w:lang w:val="en-US" w:eastAsia="zh-CN"/>
        </w:rPr>
        <w:t>http://m.mofcom.gov.cn/article/i/jyjl/j/202010/20201003007731.shtml?ivk_sa=1023197a</w:t>
      </w:r>
    </w:p>
    <w:p w14:paraId="4EFB5839">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4、总资产</w:t>
      </w:r>
    </w:p>
    <w:p w14:paraId="25C39429">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总资产方面，国有企业总资产达2900万亿越盾。国有股份制公司总资产约777万亿越盾。外资企业约5700万亿越盾，而民营企业总资产则逾26500万亿越盾。</w:t>
      </w:r>
    </w:p>
    <w:p w14:paraId="74898268">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笔者整理了该数据，制表如下：</w:t>
      </w:r>
    </w:p>
    <w:p w14:paraId="36A4B715">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eastAsiaTheme="minorEastAsia"/>
          <w:lang w:eastAsia="zh-CN"/>
        </w:rPr>
      </w:pPr>
      <w:r>
        <w:rPr>
          <w:rFonts w:hint="eastAsia" w:eastAsiaTheme="minorEastAsia"/>
          <w:lang w:eastAsia="zh-CN"/>
        </w:rPr>
        <w:drawing>
          <wp:inline distT="0" distB="0" distL="114300" distR="114300">
            <wp:extent cx="5269865" cy="2037715"/>
            <wp:effectExtent l="0" t="0" r="3175" b="4445"/>
            <wp:docPr id="23" name="图片 23" descr="30df47e68d4f566e76c02efc99505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0df47e68d4f566e76c02efc99505f6"/>
                    <pic:cNvPicPr>
                      <a:picLocks noChangeAspect="1"/>
                    </pic:cNvPicPr>
                  </pic:nvPicPr>
                  <pic:blipFill>
                    <a:blip r:embed="rId11"/>
                    <a:stretch>
                      <a:fillRect/>
                    </a:stretch>
                  </pic:blipFill>
                  <pic:spPr>
                    <a:xfrm>
                      <a:off x="0" y="0"/>
                      <a:ext cx="5269865" cy="2037715"/>
                    </a:xfrm>
                    <a:prstGeom prst="rect">
                      <a:avLst/>
                    </a:prstGeom>
                  </pic:spPr>
                </pic:pic>
              </a:graphicData>
            </a:graphic>
          </wp:inline>
        </w:drawing>
      </w:r>
    </w:p>
    <w:p w14:paraId="3EB74C6B">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可以看到，越南国有控股总资产占比仅为10.25%，民营企业总资产占比为73.86%，外企占比为15.89%，后二者合计为89.75%，将近90%。</w:t>
      </w:r>
    </w:p>
    <w:p w14:paraId="6A184E35">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制图更为直观（红色为国有控股，蓝色为民企，灰色为外企）：</w:t>
      </w:r>
    </w:p>
    <w:p w14:paraId="3FB80FDF">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pPr>
      <w:r>
        <w:drawing>
          <wp:inline distT="0" distB="0" distL="114300" distR="114300">
            <wp:extent cx="5270500" cy="3496310"/>
            <wp:effectExtent l="0" t="0" r="2540"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2"/>
                    <a:stretch>
                      <a:fillRect/>
                    </a:stretch>
                  </pic:blipFill>
                  <pic:spPr>
                    <a:xfrm>
                      <a:off x="0" y="0"/>
                      <a:ext cx="5270500" cy="3496310"/>
                    </a:xfrm>
                    <a:prstGeom prst="rect">
                      <a:avLst/>
                    </a:prstGeom>
                    <a:noFill/>
                    <a:ln>
                      <a:noFill/>
                    </a:ln>
                  </pic:spPr>
                </pic:pic>
              </a:graphicData>
            </a:graphic>
          </wp:inline>
        </w:drawing>
      </w:r>
    </w:p>
    <w:p w14:paraId="1B1DC433">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5、营业收入</w:t>
      </w:r>
    </w:p>
    <w:p w14:paraId="3244F040">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年营业收入最大。民营企业超过13500万亿越盾。其次是国有企业年营业总收入约1500万亿越盾；国有股份制企业约643万亿约盾。</w:t>
      </w:r>
    </w:p>
    <w:p w14:paraId="70D6FB23">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整理如下：</w:t>
      </w:r>
    </w:p>
    <w:p w14:paraId="206AA7AE">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271135" cy="1739265"/>
            <wp:effectExtent l="0" t="0" r="1905" b="13335"/>
            <wp:docPr id="17" name="图片 17" descr="eff52b6982193b0eec4c8fe9757d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ff52b6982193b0eec4c8fe9757dbcc"/>
                    <pic:cNvPicPr>
                      <a:picLocks noChangeAspect="1"/>
                    </pic:cNvPicPr>
                  </pic:nvPicPr>
                  <pic:blipFill>
                    <a:blip r:embed="rId13"/>
                    <a:stretch>
                      <a:fillRect/>
                    </a:stretch>
                  </pic:blipFill>
                  <pic:spPr>
                    <a:xfrm>
                      <a:off x="0" y="0"/>
                      <a:ext cx="5271135" cy="1739265"/>
                    </a:xfrm>
                    <a:prstGeom prst="rect">
                      <a:avLst/>
                    </a:prstGeom>
                  </pic:spPr>
                </pic:pic>
              </a:graphicData>
            </a:graphic>
          </wp:inline>
        </w:drawing>
      </w:r>
    </w:p>
    <w:p w14:paraId="161F852A">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2018年民营企业营业收入占比86.3%，国有控股企业营业收入占比13.7%。该数据没有包括外资企业，如果算上外商企业，国有控股企业营业收入占比将会更低。</w:t>
      </w:r>
    </w:p>
    <w:p w14:paraId="2C8C2E94">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制图如下（红色为国有控股，蓝色为民企）：</w:t>
      </w:r>
    </w:p>
    <w:p w14:paraId="017F72CF">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272405" cy="3495040"/>
            <wp:effectExtent l="0" t="0" r="635" b="10160"/>
            <wp:docPr id="18" name="图片 18" descr="341b153b7c77c0bba3c0a5efa435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41b153b7c77c0bba3c0a5efa43513a"/>
                    <pic:cNvPicPr>
                      <a:picLocks noChangeAspect="1"/>
                    </pic:cNvPicPr>
                  </pic:nvPicPr>
                  <pic:blipFill>
                    <a:blip r:embed="rId14"/>
                    <a:stretch>
                      <a:fillRect/>
                    </a:stretch>
                  </pic:blipFill>
                  <pic:spPr>
                    <a:xfrm>
                      <a:off x="0" y="0"/>
                      <a:ext cx="5272405" cy="3495040"/>
                    </a:xfrm>
                    <a:prstGeom prst="rect">
                      <a:avLst/>
                    </a:prstGeom>
                  </pic:spPr>
                </pic:pic>
              </a:graphicData>
            </a:graphic>
          </wp:inline>
        </w:drawing>
      </w:r>
    </w:p>
    <w:p w14:paraId="4DEBCD2D">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w:t>
      </w:r>
      <w:r>
        <w:rPr>
          <w:rFonts w:hint="default" w:ascii="宋体" w:hAnsi="宋体" w:eastAsia="宋体" w:cs="宋体"/>
          <w:sz w:val="28"/>
          <w:szCs w:val="28"/>
          <w:lang w:val="en-US" w:eastAsia="zh-CN"/>
        </w:rPr>
        <w:t>上缴给国家预算</w:t>
      </w:r>
    </w:p>
    <w:p w14:paraId="6865034C">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2018年国有企业上缴给国家预算的款项为267.98万亿越盾，国有股份制企业为99.73万亿越盾，外资企业为186.37万亿越盾，民营企业约365.42万亿越盾。</w:t>
      </w:r>
    </w:p>
    <w:p w14:paraId="26C193DA">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整理如下：</w:t>
      </w:r>
    </w:p>
    <w:p w14:paraId="75BE9662">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271135" cy="2300605"/>
            <wp:effectExtent l="0" t="0" r="1905" b="635"/>
            <wp:docPr id="19" name="图片 19" descr="50583a7fb0176925e84b5b13241a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0583a7fb0176925e84b5b13241aee7"/>
                    <pic:cNvPicPr>
                      <a:picLocks noChangeAspect="1"/>
                    </pic:cNvPicPr>
                  </pic:nvPicPr>
                  <pic:blipFill>
                    <a:blip r:embed="rId15"/>
                    <a:stretch>
                      <a:fillRect/>
                    </a:stretch>
                  </pic:blipFill>
                  <pic:spPr>
                    <a:xfrm>
                      <a:off x="0" y="0"/>
                      <a:ext cx="5271135" cy="2300605"/>
                    </a:xfrm>
                    <a:prstGeom prst="rect">
                      <a:avLst/>
                    </a:prstGeom>
                  </pic:spPr>
                </pic:pic>
              </a:graphicData>
            </a:graphic>
          </wp:inline>
        </w:drawing>
      </w:r>
    </w:p>
    <w:p w14:paraId="7A7BAB8F">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2018年</w:t>
      </w:r>
      <w:r>
        <w:rPr>
          <w:rFonts w:hint="default" w:ascii="宋体" w:hAnsi="宋体" w:eastAsia="宋体" w:cs="宋体"/>
          <w:sz w:val="28"/>
          <w:szCs w:val="28"/>
          <w:lang w:val="en-US" w:eastAsia="zh-CN"/>
        </w:rPr>
        <w:t>上缴给国家预算</w:t>
      </w:r>
      <w:r>
        <w:rPr>
          <w:rFonts w:hint="eastAsia" w:ascii="宋体" w:hAnsi="宋体" w:eastAsia="宋体" w:cs="宋体"/>
          <w:sz w:val="28"/>
          <w:szCs w:val="28"/>
          <w:lang w:val="en-US" w:eastAsia="zh-CN"/>
        </w:rPr>
        <w:t>款项，国有控股企业占比39.99%，民企占比39.74%，二者几乎相当，外企占比20.27。民企与外企占比合计60.01%。</w:t>
      </w:r>
    </w:p>
    <w:p w14:paraId="2AB87B6D">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制图（红色为国有控股，蓝色为民企，灰色为外企）：</w:t>
      </w:r>
    </w:p>
    <w:p w14:paraId="79A32805">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272405" cy="3446780"/>
            <wp:effectExtent l="0" t="0" r="635" b="12700"/>
            <wp:docPr id="20" name="图片 20" descr="4043c65d06f0cf0bd374ce59d68a2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4043c65d06f0cf0bd374ce59d68a27e"/>
                    <pic:cNvPicPr>
                      <a:picLocks noChangeAspect="1"/>
                    </pic:cNvPicPr>
                  </pic:nvPicPr>
                  <pic:blipFill>
                    <a:blip r:embed="rId16"/>
                    <a:stretch>
                      <a:fillRect/>
                    </a:stretch>
                  </pic:blipFill>
                  <pic:spPr>
                    <a:xfrm>
                      <a:off x="0" y="0"/>
                      <a:ext cx="5272405" cy="3446780"/>
                    </a:xfrm>
                    <a:prstGeom prst="rect">
                      <a:avLst/>
                    </a:prstGeom>
                  </pic:spPr>
                </pic:pic>
              </a:graphicData>
            </a:graphic>
          </wp:inline>
        </w:drawing>
      </w:r>
    </w:p>
    <w:p w14:paraId="3CA0DB28">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7、纳税</w:t>
      </w:r>
    </w:p>
    <w:p w14:paraId="67E94544">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民营企业纳税最多。</w:t>
      </w:r>
    </w:p>
    <w:p w14:paraId="4054C537">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该项数据，中国</w:t>
      </w: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"http://hochiminh.mofcom.gov.cn/article/jmxw/202010/20201003007731.shtml" \t "http://m.mofcom.gov.cn/article/i/jyjl/j/202010/_blank"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驻胡志明市总领事馆经济商务处</w:t>
      </w:r>
      <w:r>
        <w:rPr>
          <w:rFonts w:hint="eastAsia" w:ascii="宋体" w:hAnsi="宋体" w:eastAsia="宋体" w:cs="宋体"/>
          <w:sz w:val="28"/>
          <w:szCs w:val="28"/>
          <w:lang w:val="en-US" w:eastAsia="zh-CN"/>
        </w:rPr>
        <w:fldChar w:fldCharType="end"/>
      </w:r>
      <w:r>
        <w:rPr>
          <w:rFonts w:hint="eastAsia" w:ascii="宋体" w:hAnsi="宋体" w:eastAsia="宋体" w:cs="宋体"/>
          <w:sz w:val="28"/>
          <w:szCs w:val="28"/>
          <w:lang w:val="en-US" w:eastAsia="zh-CN"/>
        </w:rPr>
        <w:t>只有一个定性结论，并没有具体数据。民营企业最多，意味着国有控股占比要小于50%。</w:t>
      </w:r>
    </w:p>
    <w:p w14:paraId="349D10FE">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8、GDP</w:t>
      </w:r>
    </w:p>
    <w:p w14:paraId="64908BD4">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中国</w:t>
      </w: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"http://hochiminh.mofcom.gov.cn/article/jmxw/202010/20201003007731.shtml" \t "http://m.mofcom.gov.cn/article/i/jyjl/j/202010/_blank"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驻胡志明市总领事馆经济商务处</w:t>
      </w:r>
      <w:r>
        <w:rPr>
          <w:rFonts w:hint="eastAsia" w:ascii="宋体" w:hAnsi="宋体" w:eastAsia="宋体" w:cs="宋体"/>
          <w:sz w:val="28"/>
          <w:szCs w:val="28"/>
          <w:lang w:val="en-US" w:eastAsia="zh-CN"/>
        </w:rPr>
        <w:fldChar w:fldCharType="end"/>
      </w:r>
      <w:r>
        <w:rPr>
          <w:rFonts w:hint="eastAsia" w:ascii="宋体" w:hAnsi="宋体" w:eastAsia="宋体" w:cs="宋体"/>
          <w:sz w:val="28"/>
          <w:szCs w:val="28"/>
          <w:lang w:val="en-US" w:eastAsia="zh-CN"/>
        </w:rPr>
        <w:t>没有给出越南GDP构成，笔者查询了不同年度的GDP占比。</w:t>
      </w:r>
    </w:p>
    <w:p w14:paraId="19EC5277">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越通社2023年5月3日报道《</w:t>
      </w:r>
      <w:r>
        <w:rPr>
          <w:rFonts w:hint="default" w:ascii="宋体" w:hAnsi="宋体" w:eastAsia="宋体" w:cs="宋体"/>
          <w:sz w:val="28"/>
          <w:szCs w:val="28"/>
          <w:lang w:val="en-US" w:eastAsia="zh-CN"/>
        </w:rPr>
        <w:t>民营经济发展成为越南经济的重要动力</w:t>
      </w:r>
      <w:r>
        <w:rPr>
          <w:rFonts w:hint="eastAsia" w:ascii="宋体" w:hAnsi="宋体" w:eastAsia="宋体" w:cs="宋体"/>
          <w:sz w:val="28"/>
          <w:szCs w:val="28"/>
          <w:lang w:val="en-US" w:eastAsia="zh-CN"/>
        </w:rPr>
        <w:t>》：</w:t>
      </w:r>
    </w:p>
    <w:p w14:paraId="5978729F">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越通社河内5月3日——3月31日，越南政府签发第45号决议（45/NQ-CP），发布了政府关于继续落实越南共产党第十二届中央委员会第五次全体会议于2017年6月3日颁发的关于发展私营经济成为社会主义定向市场经济的重要推动力的行动计划。</w:t>
      </w:r>
    </w:p>
    <w:p w14:paraId="0413B636">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该计划的总体目标是发展民营经济真正成为社会主义定向市场经济的重要推动力，为促进经济社会快速且持续发展、增强经济的自主和自强能力做出贡献。</w:t>
      </w:r>
    </w:p>
    <w:p w14:paraId="40F1161E">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w:t>
      </w:r>
    </w:p>
    <w:p w14:paraId="647FA512">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提高民营经济的经营质量和效率。民营经济增速高于经济总体增速。力争到2025年民营经济对GDP的贡献率达到55%左右，到2030年对GDP的贡献率达到60-65%的目标。</w:t>
      </w:r>
    </w:p>
    <w:p w14:paraId="07170E6C">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根据越南之声广播电台对外部网站2024年7月24日的报道《</w:t>
      </w:r>
      <w:r>
        <w:rPr>
          <w:rFonts w:hint="default" w:ascii="宋体" w:hAnsi="宋体" w:eastAsia="宋体" w:cs="宋体"/>
          <w:sz w:val="28"/>
          <w:szCs w:val="28"/>
          <w:lang w:val="en-US" w:eastAsia="zh-CN"/>
        </w:rPr>
        <w:t>阮富仲总书记在越南经济发展中留下的烙印</w:t>
      </w:r>
      <w:r>
        <w:rPr>
          <w:rFonts w:hint="eastAsia" w:ascii="宋体" w:hAnsi="宋体" w:eastAsia="宋体" w:cs="宋体"/>
          <w:sz w:val="28"/>
          <w:szCs w:val="28"/>
          <w:lang w:val="en-US" w:eastAsia="zh-CN"/>
        </w:rPr>
        <w:t>》：</w:t>
      </w:r>
    </w:p>
    <w:p w14:paraId="13870CC8">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私营经济取得了令人瞩目的发展，对越南国内生产总值的贡献率接近45%</w:t>
      </w:r>
      <w:r>
        <w:rPr>
          <w:rFonts w:hint="eastAsia" w:ascii="宋体" w:hAnsi="宋体" w:eastAsia="宋体" w:cs="宋体"/>
          <w:sz w:val="28"/>
          <w:szCs w:val="28"/>
          <w:lang w:val="en-US" w:eastAsia="zh-CN"/>
        </w:rPr>
        <w:t>......</w:t>
      </w:r>
    </w:p>
    <w:p w14:paraId="4C4569BF">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另据越南《人民报社》网站报道《</w:t>
      </w:r>
      <w:r>
        <w:rPr>
          <w:rFonts w:hint="default" w:ascii="宋体" w:hAnsi="宋体" w:eastAsia="宋体" w:cs="宋体"/>
          <w:sz w:val="28"/>
          <w:szCs w:val="28"/>
          <w:lang w:val="en-US" w:eastAsia="zh-CN"/>
        </w:rPr>
        <w:t>2019年外资企业对越南GDP贡献率达20%</w:t>
      </w:r>
      <w:r>
        <w:rPr>
          <w:rFonts w:hint="eastAsia" w:ascii="宋体" w:hAnsi="宋体" w:eastAsia="宋体" w:cs="宋体"/>
          <w:sz w:val="28"/>
          <w:szCs w:val="28"/>
          <w:lang w:val="en-US" w:eastAsia="zh-CN"/>
        </w:rPr>
        <w:t>》：</w:t>
      </w:r>
    </w:p>
    <w:p w14:paraId="283B97D3">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t>越南政府副总理郑廷勇在论坛上强调，2019年外资企业对越南GDP的贡献率达20%。</w:t>
      </w:r>
    </w:p>
    <w:p w14:paraId="73D5A80D">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综合上述报道，2023年越南民企对越南GDP贡献率为45%，2019年外企</w:t>
      </w:r>
      <w:r>
        <w:rPr>
          <w:rFonts w:hint="default" w:ascii="宋体" w:hAnsi="宋体" w:eastAsia="宋体" w:cs="宋体"/>
          <w:sz w:val="28"/>
          <w:szCs w:val="28"/>
          <w:lang w:val="en-US" w:eastAsia="zh-CN"/>
        </w:rPr>
        <w:t>对越南GDP的贡献率达20%</w:t>
      </w:r>
      <w:r>
        <w:rPr>
          <w:rFonts w:hint="eastAsia" w:ascii="宋体" w:hAnsi="宋体" w:eastAsia="宋体" w:cs="宋体"/>
          <w:sz w:val="28"/>
          <w:szCs w:val="28"/>
          <w:lang w:val="en-US" w:eastAsia="zh-CN"/>
        </w:rPr>
        <w:t>。因为外企对越南GDP贡献率逐渐增长，可以推测，2023年外企对越南GDP贡献率要大于20%，我们姑且还按照20%计算。</w:t>
      </w:r>
    </w:p>
    <w:p w14:paraId="6D728DCF">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数据整理如下：</w:t>
      </w:r>
    </w:p>
    <w:p w14:paraId="31BB0361">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pPr>
      <w:r>
        <w:drawing>
          <wp:inline distT="0" distB="0" distL="114300" distR="114300">
            <wp:extent cx="4091940" cy="2468880"/>
            <wp:effectExtent l="0" t="0" r="7620" b="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17"/>
                    <a:stretch>
                      <a:fillRect/>
                    </a:stretch>
                  </pic:blipFill>
                  <pic:spPr>
                    <a:xfrm>
                      <a:off x="0" y="0"/>
                      <a:ext cx="4091940" cy="2468880"/>
                    </a:xfrm>
                    <a:prstGeom prst="rect">
                      <a:avLst/>
                    </a:prstGeom>
                    <a:noFill/>
                    <a:ln>
                      <a:noFill/>
                    </a:ln>
                  </pic:spPr>
                </pic:pic>
              </a:graphicData>
            </a:graphic>
          </wp:inline>
        </w:drawing>
      </w:r>
    </w:p>
    <w:p w14:paraId="1B7C8AB9">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pPr>
      <w:r>
        <w:rPr>
          <w:rFonts w:hint="eastAsia" w:ascii="宋体" w:hAnsi="宋体" w:eastAsia="宋体" w:cs="宋体"/>
          <w:sz w:val="28"/>
          <w:szCs w:val="28"/>
          <w:lang w:val="en-US" w:eastAsia="zh-CN"/>
        </w:rPr>
        <w:t>制图（红色为国有控股，蓝色为民企，灰色为外企）：</w:t>
      </w:r>
    </w:p>
    <w:p w14:paraId="4373F4AC">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lang w:val="en-US" w:eastAsia="zh-CN"/>
        </w:rPr>
      </w:pPr>
      <w:r>
        <w:drawing>
          <wp:inline distT="0" distB="0" distL="114300" distR="114300">
            <wp:extent cx="5270500" cy="3567430"/>
            <wp:effectExtent l="0" t="0" r="2540" b="1397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18"/>
                    <a:stretch>
                      <a:fillRect/>
                    </a:stretch>
                  </pic:blipFill>
                  <pic:spPr>
                    <a:xfrm>
                      <a:off x="0" y="0"/>
                      <a:ext cx="5270500" cy="3567430"/>
                    </a:xfrm>
                    <a:prstGeom prst="rect">
                      <a:avLst/>
                    </a:prstGeom>
                    <a:noFill/>
                    <a:ln>
                      <a:noFill/>
                    </a:ln>
                  </pic:spPr>
                </pic:pic>
              </a:graphicData>
            </a:graphic>
          </wp:inline>
        </w:drawing>
      </w:r>
    </w:p>
    <w:p w14:paraId="1E7CB797">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从经济基础数据可以看到，非国有企业占据绝对优势，可以说越南的经济基础是建立在私有制为主体基础上的。</w:t>
      </w:r>
    </w:p>
    <w:p w14:paraId="7EED76CD">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越南特色是特色社会主义还是特色资本主义，相信读者朋友们会有自己的答案。</w:t>
      </w:r>
    </w:p>
    <w:p w14:paraId="38454055">
      <w:pPr>
        <w:keepNext w:val="0"/>
        <w:keepLines w:val="0"/>
        <w:pageBreakBefore w:val="0"/>
        <w:kinsoku/>
        <w:wordWrap/>
        <w:overflowPunct/>
        <w:topLinePunct w:val="0"/>
        <w:autoSpaceDE/>
        <w:autoSpaceDN/>
        <w:bidi w:val="0"/>
        <w:adjustRightInd/>
        <w:snapToGrid/>
        <w:spacing w:before="313" w:beforeLines="100" w:after="313" w:afterLines="100" w:line="240" w:lineRule="auto"/>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二、上层建筑</w:t>
      </w:r>
    </w:p>
    <w:p w14:paraId="7CCD76BA">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bookmarkStart w:id="0" w:name="_GoBack"/>
      <w:r>
        <w:rPr>
          <w:rFonts w:hint="default" w:ascii="宋体" w:hAnsi="宋体" w:eastAsia="宋体" w:cs="宋体"/>
          <w:sz w:val="28"/>
          <w:szCs w:val="28"/>
          <w:lang w:val="en-US" w:eastAsia="zh-CN"/>
        </w:rPr>
        <w:t>本届国会为越南第十届国会，于1997年7月20日选举产生。在现有450名议员中，</w:t>
      </w:r>
      <w:r>
        <w:rPr>
          <w:rFonts w:hint="eastAsia" w:ascii="宋体" w:hAnsi="宋体" w:eastAsia="宋体" w:cs="宋体"/>
          <w:sz w:val="28"/>
          <w:szCs w:val="28"/>
          <w:lang w:val="en-US" w:eastAsia="zh-CN"/>
        </w:rPr>
        <w:t>......</w:t>
      </w:r>
      <w:r>
        <w:rPr>
          <w:rFonts w:hint="default" w:ascii="宋体" w:hAnsi="宋体" w:eastAsia="宋体" w:cs="宋体"/>
          <w:sz w:val="28"/>
          <w:szCs w:val="28"/>
          <w:lang w:val="en-US" w:eastAsia="zh-CN"/>
        </w:rPr>
        <w:t>议员职业构成情况是：</w:t>
      </w:r>
      <w:r>
        <w:rPr>
          <w:rFonts w:hint="eastAsia" w:ascii="宋体" w:hAnsi="宋体" w:eastAsia="宋体" w:cs="宋体"/>
          <w:sz w:val="28"/>
          <w:szCs w:val="28"/>
          <w:lang w:val="en-US" w:eastAsia="zh-CN"/>
        </w:rPr>
        <w:t>......</w:t>
      </w:r>
      <w:r>
        <w:rPr>
          <w:rFonts w:hint="default" w:ascii="宋体" w:hAnsi="宋体" w:eastAsia="宋体" w:cs="宋体"/>
          <w:b/>
          <w:bCs/>
          <w:sz w:val="28"/>
          <w:szCs w:val="28"/>
          <w:lang w:val="en-US" w:eastAsia="zh-CN"/>
        </w:rPr>
        <w:t>工业生产单位21人；农林水产业17人；</w:t>
      </w:r>
      <w:r>
        <w:rPr>
          <w:rFonts w:hint="eastAsia" w:ascii="宋体" w:hAnsi="宋体" w:eastAsia="宋体" w:cs="宋体"/>
          <w:sz w:val="28"/>
          <w:szCs w:val="28"/>
          <w:lang w:val="en-US" w:eastAsia="zh-CN"/>
        </w:rPr>
        <w:t>......（数据来源：四川人大网）</w:t>
      </w:r>
    </w:p>
    <w:p w14:paraId="5FB81168">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工人代表比例4.67%，农民代表比例3.78%，二者合计8.45%。</w:t>
      </w:r>
    </w:p>
    <w:bookmarkEnd w:id="0"/>
    <w:p w14:paraId="111B6A57">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新中国第四届人大（1975-1976）工人代表比例28.2%，农民代表比例22.69%，二者合计50.89%</w:t>
      </w:r>
    </w:p>
    <w:p w14:paraId="2B4F7F76">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作图如下：</w:t>
      </w:r>
    </w:p>
    <w:p w14:paraId="04ECDB71">
      <w:pPr>
        <w:keepNext w:val="0"/>
        <w:keepLines w:val="0"/>
        <w:pageBreakBefore w:val="0"/>
        <w:kinsoku/>
        <w:wordWrap/>
        <w:overflowPunct/>
        <w:topLinePunct w:val="0"/>
        <w:autoSpaceDE/>
        <w:autoSpaceDN/>
        <w:bidi w:val="0"/>
        <w:adjustRightInd/>
        <w:snapToGrid/>
        <w:spacing w:before="313" w:beforeLines="100" w:after="313" w:afterLines="100" w:line="240" w:lineRule="auto"/>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4739640" cy="4312920"/>
            <wp:effectExtent l="0" t="0" r="0" b="0"/>
            <wp:docPr id="10" name="图片 10" descr="越南议员比例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越南议员比例表"/>
                    <pic:cNvPicPr>
                      <a:picLocks noChangeAspect="1"/>
                    </pic:cNvPicPr>
                  </pic:nvPicPr>
                  <pic:blipFill>
                    <a:blip r:embed="rId19"/>
                    <a:stretch>
                      <a:fillRect/>
                    </a:stretch>
                  </pic:blipFill>
                  <pic:spPr>
                    <a:xfrm>
                      <a:off x="0" y="0"/>
                      <a:ext cx="4739640" cy="4312920"/>
                    </a:xfrm>
                    <a:prstGeom prst="rect">
                      <a:avLst/>
                    </a:prstGeom>
                  </pic:spPr>
                </pic:pic>
              </a:graphicData>
            </a:graphic>
          </wp:inline>
        </w:drawing>
      </w:r>
    </w:p>
    <w:p w14:paraId="378388A2">
      <w:pPr>
        <w:keepNext w:val="0"/>
        <w:keepLines w:val="0"/>
        <w:pageBreakBefore w:val="0"/>
        <w:kinsoku/>
        <w:wordWrap/>
        <w:overflowPunct/>
        <w:topLinePunct w:val="0"/>
        <w:autoSpaceDE/>
        <w:autoSpaceDN/>
        <w:bidi w:val="0"/>
        <w:adjustRightInd/>
        <w:snapToGrid/>
        <w:spacing w:before="313" w:beforeLines="100" w:after="313" w:afterLines="100" w:line="240" w:lineRule="auto"/>
        <w:jc w:val="center"/>
        <w:textAlignment w:val="auto"/>
        <w:rPr>
          <w:rFonts w:hint="default" w:ascii="宋体" w:hAnsi="宋体" w:eastAsia="宋体" w:cs="宋体"/>
          <w:sz w:val="28"/>
          <w:szCs w:val="28"/>
          <w:lang w:val="en-US" w:eastAsia="zh-CN"/>
        </w:rPr>
      </w:pPr>
      <w:r>
        <w:rPr>
          <w:rFonts w:hint="default" w:ascii="宋体" w:hAnsi="宋体" w:eastAsia="宋体" w:cs="宋体"/>
          <w:sz w:val="28"/>
          <w:szCs w:val="28"/>
          <w:lang w:val="en-US" w:eastAsia="zh-CN"/>
        </w:rPr>
        <w:drawing>
          <wp:inline distT="0" distB="0" distL="114300" distR="114300">
            <wp:extent cx="5219700" cy="3985260"/>
            <wp:effectExtent l="0" t="0" r="7620" b="7620"/>
            <wp:docPr id="15" name="图片 15" descr="54b370034a7f6feb8bdd645ec850e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4b370034a7f6feb8bdd645ec850eb5"/>
                    <pic:cNvPicPr>
                      <a:picLocks noChangeAspect="1"/>
                    </pic:cNvPicPr>
                  </pic:nvPicPr>
                  <pic:blipFill>
                    <a:blip r:embed="rId20"/>
                    <a:stretch>
                      <a:fillRect/>
                    </a:stretch>
                  </pic:blipFill>
                  <pic:spPr>
                    <a:xfrm>
                      <a:off x="0" y="0"/>
                      <a:ext cx="5219700" cy="3985260"/>
                    </a:xfrm>
                    <a:prstGeom prst="rect">
                      <a:avLst/>
                    </a:prstGeom>
                  </pic:spPr>
                </pic:pic>
              </a:graphicData>
            </a:graphic>
          </wp:inline>
        </w:drawing>
      </w:r>
    </w:p>
    <w:p w14:paraId="63342305">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到底是工农当家做主还是其他什么阶级当家做主，一目了然。</w:t>
      </w:r>
    </w:p>
    <w:p w14:paraId="4535A9C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textAlignment w:val="auto"/>
        <w:rPr>
          <w:rFonts w:hint="default" w:ascii="Helvetica" w:hAnsi="Helvetica" w:eastAsia="宋体" w:cs="Helvetica"/>
          <w:b w:val="0"/>
          <w:bCs w:val="0"/>
          <w:i w:val="0"/>
          <w:iCs w:val="0"/>
          <w:caps w:val="0"/>
          <w:spacing w:val="0"/>
          <w:kern w:val="0"/>
          <w:sz w:val="28"/>
          <w:szCs w:val="28"/>
          <w:shd w:val="clear" w:fill="FFFFFF"/>
          <w:lang w:val="en-US" w:eastAsia="zh-CN" w:bidi="ar"/>
        </w:rPr>
      </w:pPr>
      <w:r>
        <w:rPr>
          <w:rFonts w:hint="eastAsia" w:ascii="Helvetica" w:hAnsi="Helvetica" w:eastAsia="宋体" w:cs="Helvetica"/>
          <w:b w:val="0"/>
          <w:bCs w:val="0"/>
          <w:i w:val="0"/>
          <w:iCs w:val="0"/>
          <w:caps w:val="0"/>
          <w:spacing w:val="0"/>
          <w:kern w:val="0"/>
          <w:sz w:val="28"/>
          <w:szCs w:val="28"/>
          <w:shd w:val="clear" w:fill="FFFFFF"/>
          <w:lang w:val="en-US" w:eastAsia="zh-CN" w:bidi="ar"/>
        </w:rPr>
        <w:t>根据B站“</w:t>
      </w:r>
      <w:r>
        <w:rPr>
          <w:rFonts w:hint="eastAsia" w:ascii="Helvetica" w:hAnsi="Helvetica" w:eastAsia="宋体" w:cs="Helvetica"/>
          <w:b w:val="0"/>
          <w:bCs w:val="0"/>
          <w:i w:val="0"/>
          <w:iCs w:val="0"/>
          <w:caps w:val="0"/>
          <w:spacing w:val="0"/>
          <w:kern w:val="0"/>
          <w:sz w:val="28"/>
          <w:szCs w:val="28"/>
          <w:shd w:val="clear" w:fill="FFFFFF"/>
          <w:lang w:val="en-US" w:eastAsia="zh-CN" w:bidi="ar"/>
        </w:rPr>
        <w:fldChar w:fldCharType="begin"/>
      </w:r>
      <w:r>
        <w:rPr>
          <w:rFonts w:hint="eastAsia" w:ascii="Helvetica" w:hAnsi="Helvetica" w:eastAsia="宋体" w:cs="Helvetica"/>
          <w:b w:val="0"/>
          <w:bCs w:val="0"/>
          <w:i w:val="0"/>
          <w:iCs w:val="0"/>
          <w:caps w:val="0"/>
          <w:spacing w:val="0"/>
          <w:kern w:val="0"/>
          <w:sz w:val="28"/>
          <w:szCs w:val="28"/>
          <w:shd w:val="clear" w:fill="FFFFFF"/>
          <w:lang w:val="en-US" w:eastAsia="zh-CN" w:bidi="ar"/>
        </w:rPr>
        <w:instrText xml:space="preserve"> HYPERLINK "https://space.bilibili.com/487875531" \t "https://www.bilibili.com/read/cv24036582/_blank" </w:instrText>
      </w:r>
      <w:r>
        <w:rPr>
          <w:rFonts w:hint="eastAsia" w:ascii="Helvetica" w:hAnsi="Helvetica" w:eastAsia="宋体" w:cs="Helvetica"/>
          <w:b w:val="0"/>
          <w:bCs w:val="0"/>
          <w:i w:val="0"/>
          <w:iCs w:val="0"/>
          <w:caps w:val="0"/>
          <w:spacing w:val="0"/>
          <w:kern w:val="0"/>
          <w:sz w:val="28"/>
          <w:szCs w:val="28"/>
          <w:shd w:val="clear" w:fill="FFFFFF"/>
          <w:lang w:val="en-US" w:eastAsia="zh-CN" w:bidi="ar"/>
        </w:rPr>
        <w:fldChar w:fldCharType="separate"/>
      </w:r>
      <w:r>
        <w:rPr>
          <w:rFonts w:hint="default" w:ascii="Helvetica" w:hAnsi="Helvetica" w:eastAsia="宋体" w:cs="Helvetica"/>
          <w:b w:val="0"/>
          <w:bCs w:val="0"/>
          <w:i w:val="0"/>
          <w:iCs w:val="0"/>
          <w:caps w:val="0"/>
          <w:spacing w:val="0"/>
          <w:kern w:val="0"/>
          <w:sz w:val="28"/>
          <w:szCs w:val="28"/>
          <w:shd w:val="clear" w:fill="FFFFFF"/>
          <w:lang w:val="en-US" w:eastAsia="zh-CN" w:bidi="ar"/>
        </w:rPr>
        <w:t>工民新文</w:t>
      </w:r>
      <w:r>
        <w:rPr>
          <w:rFonts w:hint="default" w:ascii="Helvetica" w:hAnsi="Helvetica" w:eastAsia="宋体" w:cs="Helvetica"/>
          <w:b w:val="0"/>
          <w:bCs w:val="0"/>
          <w:i w:val="0"/>
          <w:iCs w:val="0"/>
          <w:caps w:val="0"/>
          <w:spacing w:val="0"/>
          <w:kern w:val="0"/>
          <w:sz w:val="28"/>
          <w:szCs w:val="28"/>
          <w:shd w:val="clear" w:fill="FFFFFF"/>
          <w:lang w:val="en-US" w:eastAsia="zh-CN" w:bidi="ar"/>
        </w:rPr>
        <w:fldChar w:fldCharType="end"/>
      </w:r>
      <w:r>
        <w:rPr>
          <w:rFonts w:hint="eastAsia" w:ascii="Helvetica" w:hAnsi="Helvetica" w:eastAsia="宋体" w:cs="Helvetica"/>
          <w:b w:val="0"/>
          <w:bCs w:val="0"/>
          <w:i w:val="0"/>
          <w:iCs w:val="0"/>
          <w:caps w:val="0"/>
          <w:spacing w:val="0"/>
          <w:kern w:val="0"/>
          <w:sz w:val="28"/>
          <w:szCs w:val="28"/>
          <w:shd w:val="clear" w:fill="FFFFFF"/>
          <w:lang w:val="en-US" w:eastAsia="zh-CN" w:bidi="ar"/>
        </w:rPr>
        <w:t>”文章《</w:t>
      </w:r>
      <w:r>
        <w:rPr>
          <w:rFonts w:hint="default" w:ascii="Helvetica" w:hAnsi="Helvetica" w:eastAsia="宋体" w:cs="Helvetica"/>
          <w:b w:val="0"/>
          <w:bCs w:val="0"/>
          <w:i w:val="0"/>
          <w:iCs w:val="0"/>
          <w:caps w:val="0"/>
          <w:spacing w:val="0"/>
          <w:kern w:val="0"/>
          <w:sz w:val="28"/>
          <w:szCs w:val="28"/>
          <w:shd w:val="clear" w:fill="FFFFFF"/>
          <w:lang w:val="en-US" w:eastAsia="zh-CN" w:bidi="ar"/>
        </w:rPr>
        <w:t>越南：圈地运动的暴力冲突不断升级</w:t>
      </w:r>
      <w:r>
        <w:rPr>
          <w:rFonts w:hint="eastAsia" w:ascii="Helvetica" w:hAnsi="Helvetica" w:eastAsia="宋体" w:cs="Helvetica"/>
          <w:b w:val="0"/>
          <w:bCs w:val="0"/>
          <w:i w:val="0"/>
          <w:iCs w:val="0"/>
          <w:caps w:val="0"/>
          <w:spacing w:val="0"/>
          <w:kern w:val="0"/>
          <w:sz w:val="28"/>
          <w:szCs w:val="28"/>
          <w:shd w:val="clear" w:fill="FFFFFF"/>
          <w:lang w:val="en-US" w:eastAsia="zh-CN" w:bidi="ar"/>
        </w:rPr>
        <w:t>》</w:t>
      </w:r>
      <w:r>
        <w:rPr>
          <w:rFonts w:hint="eastAsia" w:ascii="Helvetica" w:hAnsi="Helvetica" w:cs="Helvetica"/>
          <w:b w:val="0"/>
          <w:bCs w:val="0"/>
          <w:i w:val="0"/>
          <w:iCs w:val="0"/>
          <w:caps w:val="0"/>
          <w:spacing w:val="0"/>
          <w:kern w:val="0"/>
          <w:sz w:val="28"/>
          <w:szCs w:val="28"/>
          <w:shd w:val="clear" w:fill="FFFFFF"/>
          <w:lang w:val="en-US" w:eastAsia="zh-CN" w:bidi="ar"/>
        </w:rPr>
        <w:t>：</w:t>
      </w:r>
    </w:p>
    <w:p w14:paraId="7903395F">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近年来，由于大型企业在地方政府官员的协助下，在被窃取的土地上建造工厂和住宅，从中获取巨额利润，越南的土地纠纷和征地斗争愈演愈烈。这反过来又导致了激烈的骚乱、示威、抗议和与警察的冲突。</w:t>
      </w:r>
    </w:p>
    <w:p w14:paraId="063C17A5">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随着越南私有化的加剧，随着越共内部矛盾的加剧，土地纠纷将成为新时期阶级斗争的焦点。</w:t>
      </w:r>
    </w:p>
    <w:p w14:paraId="10E18720">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越南土地纠纷引发暴力冲突</w:t>
      </w:r>
    </w:p>
    <w:p w14:paraId="016F1564">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default" w:ascii="Helvetica" w:hAnsi="Helvetica" w:eastAsia="宋体" w:cs="Helvetica"/>
          <w:i w:val="0"/>
          <w:iCs w:val="0"/>
          <w:caps w:val="0"/>
          <w:spacing w:val="0"/>
          <w:kern w:val="0"/>
          <w:sz w:val="28"/>
          <w:szCs w:val="28"/>
          <w:shd w:val="clear" w:fill="FFFFFF"/>
          <w:lang w:val="en-US" w:eastAsia="zh-CN" w:bidi="ar"/>
        </w:rPr>
        <w:t>然而，这不是最近的问题，在过去的几十年里，土地冲突的例子比比皆是，包括1987-1997年的太平事件，2001年的种族起义，以及2009年段文汪引发的小规模冲突。2012年4月，在文江因为稻田被没收用于80亿美元的环保园开发，1000多个家庭发起的抗议被当局残酷镇压。</w:t>
      </w:r>
    </w:p>
    <w:p w14:paraId="46386D5B">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line="240" w:lineRule="auto"/>
        <w:ind w:left="840" w:leftChars="400" w:right="840" w:rightChars="400"/>
        <w:jc w:val="left"/>
        <w:textAlignment w:val="auto"/>
        <w:rPr>
          <w:rFonts w:hint="default" w:ascii="Helvetica" w:hAnsi="Helvetica" w:eastAsia="宋体" w:cs="Helvetica"/>
          <w:i w:val="0"/>
          <w:iCs w:val="0"/>
          <w:caps w:val="0"/>
          <w:spacing w:val="0"/>
          <w:kern w:val="0"/>
          <w:sz w:val="28"/>
          <w:szCs w:val="28"/>
          <w:shd w:val="clear" w:fill="FFFFFF"/>
          <w:lang w:val="en-US" w:eastAsia="zh-CN" w:bidi="ar"/>
        </w:rPr>
      </w:pPr>
      <w:r>
        <w:rPr>
          <w:rFonts w:hint="eastAsia" w:ascii="Helvetica" w:hAnsi="Helvetica" w:eastAsia="宋体" w:cs="Helvetica"/>
          <w:i w:val="0"/>
          <w:iCs w:val="0"/>
          <w:caps w:val="0"/>
          <w:spacing w:val="0"/>
          <w:kern w:val="0"/>
          <w:sz w:val="28"/>
          <w:szCs w:val="28"/>
          <w:shd w:val="clear" w:fill="FFFFFF"/>
          <w:lang w:val="en-US" w:eastAsia="zh-CN" w:bidi="ar"/>
        </w:rPr>
        <w:t>（https://www.bilibili.com/read/cv24036582/?jump_opus=1）</w:t>
      </w:r>
    </w:p>
    <w:p w14:paraId="05BA6D00">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从这则报道可以看到越南政府对越南工农群众态度，是为他们服务，还是对他们压迫。</w:t>
      </w:r>
    </w:p>
    <w:p w14:paraId="44A40C69">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越南特色，是无产阶级专政还是资产阶级专政，读者会有自己的答案。</w:t>
      </w:r>
    </w:p>
    <w:p w14:paraId="5B5C9AF0">
      <w:pPr>
        <w:keepNext w:val="0"/>
        <w:keepLines w:val="0"/>
        <w:pageBreakBefore w:val="0"/>
        <w:kinsoku/>
        <w:wordWrap/>
        <w:overflowPunct/>
        <w:topLinePunct w:val="0"/>
        <w:autoSpaceDE/>
        <w:autoSpaceDN/>
        <w:bidi w:val="0"/>
        <w:adjustRightInd/>
        <w:snapToGrid/>
        <w:spacing w:before="313" w:beforeLines="100" w:after="313" w:afterLines="100" w:line="240" w:lineRule="auto"/>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三、财富分配</w:t>
      </w:r>
    </w:p>
    <w:p w14:paraId="1B46C1B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leftChars="0" w:right="0" w:rightChars="0"/>
        <w:textAlignment w:val="auto"/>
        <w:rPr>
          <w:rFonts w:hint="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t>笔者查询了“世界财富与收入数据库”，整理了三类人——最富有的1%人群，最富有的10%人群，50%的底层人群所占财富比例。</w:t>
      </w:r>
    </w:p>
    <w:p w14:paraId="403E3C0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leftChars="0" w:right="0" w:rightChars="0"/>
        <w:jc w:val="center"/>
        <w:textAlignment w:val="auto"/>
        <w:rPr>
          <w:rFonts w:hint="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drawing>
          <wp:inline distT="0" distB="0" distL="114300" distR="114300">
            <wp:extent cx="4808220" cy="8856980"/>
            <wp:effectExtent l="0" t="0" r="7620" b="12700"/>
            <wp:docPr id="11" name="图片 11" descr="5ab2e44785a19249a59a52d0e201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ab2e44785a19249a59a52d0e2019b7"/>
                    <pic:cNvPicPr>
                      <a:picLocks noChangeAspect="1"/>
                    </pic:cNvPicPr>
                  </pic:nvPicPr>
                  <pic:blipFill>
                    <a:blip r:embed="rId21"/>
                    <a:stretch>
                      <a:fillRect/>
                    </a:stretch>
                  </pic:blipFill>
                  <pic:spPr>
                    <a:xfrm>
                      <a:off x="0" y="0"/>
                      <a:ext cx="4808220" cy="8856980"/>
                    </a:xfrm>
                    <a:prstGeom prst="rect">
                      <a:avLst/>
                    </a:prstGeom>
                  </pic:spPr>
                </pic:pic>
              </a:graphicData>
            </a:graphic>
          </wp:inline>
        </w:drawing>
      </w:r>
    </w:p>
    <w:p w14:paraId="54824BB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leftChars="0" w:right="0" w:rightChars="0"/>
        <w:textAlignment w:val="auto"/>
        <w:rPr>
          <w:rFonts w:hint="default" w:cstheme="minorBidi"/>
          <w:b w:val="0"/>
          <w:bCs w:val="0"/>
          <w:kern w:val="2"/>
          <w:sz w:val="28"/>
          <w:szCs w:val="28"/>
          <w:lang w:val="en-US" w:eastAsia="zh-CN" w:bidi="ar-SA"/>
        </w:rPr>
      </w:pPr>
      <w:r>
        <w:rPr>
          <w:rFonts w:hint="default" w:cstheme="minorBidi"/>
          <w:b w:val="0"/>
          <w:bCs w:val="0"/>
          <w:kern w:val="2"/>
          <w:sz w:val="28"/>
          <w:szCs w:val="28"/>
          <w:lang w:val="en-US" w:eastAsia="zh-CN" w:bidi="ar-SA"/>
        </w:rPr>
        <w:drawing>
          <wp:inline distT="0" distB="0" distL="114300" distR="114300">
            <wp:extent cx="5270500" cy="4302125"/>
            <wp:effectExtent l="0" t="0" r="2540" b="10795"/>
            <wp:docPr id="12" name="图片 12" descr="b8340bdcc248b4fb8a523bb4628d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8340bdcc248b4fb8a523bb4628d298"/>
                    <pic:cNvPicPr>
                      <a:picLocks noChangeAspect="1"/>
                    </pic:cNvPicPr>
                  </pic:nvPicPr>
                  <pic:blipFill>
                    <a:blip r:embed="rId22"/>
                    <a:stretch>
                      <a:fillRect/>
                    </a:stretch>
                  </pic:blipFill>
                  <pic:spPr>
                    <a:xfrm>
                      <a:off x="0" y="0"/>
                      <a:ext cx="5270500" cy="4302125"/>
                    </a:xfrm>
                    <a:prstGeom prst="rect">
                      <a:avLst/>
                    </a:prstGeom>
                  </pic:spPr>
                </pic:pic>
              </a:graphicData>
            </a:graphic>
          </wp:inline>
        </w:drawing>
      </w:r>
    </w:p>
    <w:p w14:paraId="0D3E5E6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leftChars="0" w:right="0" w:rightChars="0"/>
        <w:textAlignment w:val="auto"/>
        <w:rPr>
          <w:rFonts w:hint="default" w:cstheme="minorBidi"/>
          <w:b w:val="0"/>
          <w:bCs w:val="0"/>
          <w:kern w:val="2"/>
          <w:sz w:val="28"/>
          <w:szCs w:val="28"/>
          <w:lang w:val="en-US" w:eastAsia="zh-CN" w:bidi="ar-SA"/>
        </w:rPr>
      </w:pPr>
      <w:r>
        <w:rPr>
          <w:rFonts w:hint="eastAsia" w:cstheme="minorBidi"/>
          <w:b w:val="0"/>
          <w:bCs w:val="0"/>
          <w:kern w:val="2"/>
          <w:sz w:val="28"/>
          <w:szCs w:val="28"/>
          <w:lang w:val="en-US" w:eastAsia="zh-CN" w:bidi="ar-SA"/>
        </w:rPr>
        <w:t>曲线图中，黄绿色为最富有的1%人群，红色为最富有的10%人群，蓝色为50%的最底层劳苦大众。</w:t>
      </w:r>
    </w:p>
    <w:p w14:paraId="16B8F6B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leftChars="0" w:right="0" w:rightChars="0"/>
        <w:textAlignment w:val="auto"/>
        <w:rPr>
          <w:rFonts w:hint="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t>从图表中可以看到，越南在改革开放后，最富有的1%的人群占有社会总财富的基本在25%-26.6%之间；最富有的10%的人群占有社会总财富的基本在59%-60%之间；占越南人民50%的最底层的劳苦大众占有社会总财富的从未超过5%。</w:t>
      </w:r>
    </w:p>
    <w:p w14:paraId="0E125C06">
      <w:pPr>
        <w:keepNext w:val="0"/>
        <w:keepLines w:val="0"/>
        <w:pageBreakBefore w:val="0"/>
        <w:kinsoku/>
        <w:wordWrap/>
        <w:overflowPunct/>
        <w:topLinePunct w:val="0"/>
        <w:autoSpaceDE/>
        <w:autoSpaceDN/>
        <w:bidi w:val="0"/>
        <w:adjustRightInd/>
        <w:snapToGrid/>
        <w:spacing w:before="313" w:beforeLines="100" w:after="313" w:afterLines="100" w:line="240" w:lineRule="auto"/>
        <w:textAlignment w:val="auto"/>
        <w:rPr>
          <w:rFonts w:hint="default" w:ascii="宋体" w:hAnsi="宋体" w:eastAsia="宋体" w:cs="宋体"/>
          <w:sz w:val="28"/>
          <w:szCs w:val="28"/>
          <w:lang w:val="en-US" w:eastAsia="zh-CN"/>
        </w:rPr>
      </w:pPr>
      <w:r>
        <w:rPr>
          <w:rFonts w:hint="eastAsia" w:cstheme="minorBidi"/>
          <w:b w:val="0"/>
          <w:bCs w:val="0"/>
          <w:kern w:val="2"/>
          <w:sz w:val="28"/>
          <w:szCs w:val="28"/>
          <w:lang w:val="en-US" w:eastAsia="zh-CN" w:bidi="ar-SA"/>
        </w:rPr>
        <w:drawing>
          <wp:inline distT="0" distB="0" distL="114300" distR="114300">
            <wp:extent cx="5173980" cy="3863340"/>
            <wp:effectExtent l="0" t="0" r="7620" b="7620"/>
            <wp:docPr id="13" name="图片 13" descr="5bbf56276e5e8de932ba73bef76dd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bbf56276e5e8de932ba73bef76ddd3"/>
                    <pic:cNvPicPr>
                      <a:picLocks noChangeAspect="1"/>
                    </pic:cNvPicPr>
                  </pic:nvPicPr>
                  <pic:blipFill>
                    <a:blip r:embed="rId23"/>
                    <a:stretch>
                      <a:fillRect/>
                    </a:stretch>
                  </pic:blipFill>
                  <pic:spPr>
                    <a:xfrm>
                      <a:off x="0" y="0"/>
                      <a:ext cx="5173980" cy="3863340"/>
                    </a:xfrm>
                    <a:prstGeom prst="rect">
                      <a:avLst/>
                    </a:prstGeom>
                  </pic:spPr>
                </pic:pic>
              </a:graphicData>
            </a:graphic>
          </wp:inline>
        </w:drawing>
      </w:r>
    </w:p>
    <w:p w14:paraId="2358342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leftChars="0" w:right="0" w:rightChars="0"/>
        <w:textAlignment w:val="auto"/>
        <w:rPr>
          <w:rFonts w:hint="default" w:cstheme="minorBidi"/>
          <w:b w:val="0"/>
          <w:bCs w:val="0"/>
          <w:kern w:val="2"/>
          <w:sz w:val="28"/>
          <w:szCs w:val="28"/>
          <w:lang w:val="en-US" w:eastAsia="zh-CN" w:bidi="ar-SA"/>
        </w:rPr>
      </w:pPr>
      <w:r>
        <w:rPr>
          <w:rFonts w:hint="eastAsia" w:cstheme="minorBidi"/>
          <w:b w:val="0"/>
          <w:bCs w:val="0"/>
          <w:kern w:val="2"/>
          <w:sz w:val="28"/>
          <w:szCs w:val="28"/>
          <w:lang w:val="en-US" w:eastAsia="zh-CN" w:bidi="ar-SA"/>
        </w:rPr>
        <w:t>上图绿色为1%最富有人群，紫色为最富有10%人群，蓝色为最底层50%人群。橙色为财富占比。</w:t>
      </w:r>
    </w:p>
    <w:p w14:paraId="65D7A41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leftChars="0" w:right="0" w:rightChars="0"/>
        <w:textAlignment w:val="auto"/>
        <w:rPr>
          <w:rFonts w:hint="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t>谁的财富占比多，谁就是越南特色的主人。</w:t>
      </w:r>
    </w:p>
    <w:p w14:paraId="0B764F8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leftChars="0" w:right="0" w:rightChars="0"/>
        <w:textAlignment w:val="auto"/>
        <w:rPr>
          <w:rFonts w:hint="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t>从图中，不难得出结论，越南特色到底是为谁服务的——是为紫色人群（10%）服务的，更是为绿色人群（1%）服务的。也就是说，越南特色是真正为10%的“精英”服务的。</w:t>
      </w:r>
    </w:p>
    <w:p w14:paraId="5AA03DB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leftChars="0" w:right="0" w:rightChars="0"/>
        <w:textAlignment w:val="auto"/>
        <w:rPr>
          <w:rFonts w:hint="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t>所谓的越南特色，到底是越南特色社会主义还是越南特色资本主义，相信读者会有自己的答案。</w:t>
      </w:r>
    </w:p>
    <w:p w14:paraId="6499D89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leftChars="0" w:right="0" w:rightChars="0"/>
        <w:jc w:val="center"/>
        <w:textAlignment w:val="auto"/>
        <w:rPr>
          <w:rFonts w:hint="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t>四、与资本主义国家对比</w:t>
      </w:r>
    </w:p>
    <w:p w14:paraId="3596816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leftChars="0" w:right="0" w:rightChars="0"/>
        <w:textAlignment w:val="auto"/>
        <w:rPr>
          <w:rFonts w:hint="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t>根据前文数据：</w:t>
      </w:r>
    </w:p>
    <w:p w14:paraId="704E186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cstheme="minorBidi"/>
          <w:b w:val="0"/>
          <w:bCs w:val="0"/>
          <w:kern w:val="2"/>
          <w:sz w:val="28"/>
          <w:szCs w:val="28"/>
          <w:lang w:val="en-US" w:eastAsia="zh-CN" w:bidi="ar-SA"/>
        </w:rPr>
      </w:pPr>
      <w:r>
        <w:rPr>
          <w:rFonts w:hint="default" w:cstheme="minorBidi"/>
          <w:b w:val="0"/>
          <w:bCs w:val="0"/>
          <w:kern w:val="2"/>
          <w:sz w:val="28"/>
          <w:szCs w:val="28"/>
          <w:lang w:val="en-US" w:eastAsia="zh-CN" w:bidi="ar-SA"/>
        </w:rPr>
        <w:t>截至2020年12月31日，</w:t>
      </w:r>
      <w:r>
        <w:rPr>
          <w:rFonts w:hint="eastAsia" w:cstheme="minorBidi"/>
          <w:b w:val="0"/>
          <w:bCs w:val="0"/>
          <w:kern w:val="2"/>
          <w:sz w:val="28"/>
          <w:szCs w:val="28"/>
          <w:lang w:val="en-US" w:eastAsia="zh-CN" w:bidi="ar-SA"/>
        </w:rPr>
        <w:t>越南</w:t>
      </w:r>
      <w:r>
        <w:rPr>
          <w:rFonts w:hint="default" w:cstheme="minorBidi"/>
          <w:b w:val="0"/>
          <w:bCs w:val="0"/>
          <w:kern w:val="2"/>
          <w:sz w:val="28"/>
          <w:szCs w:val="28"/>
          <w:lang w:val="en-US" w:eastAsia="zh-CN" w:bidi="ar-SA"/>
        </w:rPr>
        <w:t>国有企业数量仅为1963家，占全国企业总数的0.3%</w:t>
      </w:r>
    </w:p>
    <w:p w14:paraId="184C40B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leftChars="0" w:right="0" w:rightChars="0"/>
        <w:textAlignment w:val="auto"/>
        <w:rPr>
          <w:rFonts w:hint="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t>笔者搜索了法国国企数量，看到一个未经验证的数据，作者是第一财经的康恺、冯迪凡在2019年11月27日写的一篇文章《法国资产私有化掀十年最大浪潮，马克龙能否盘活国库？》：</w:t>
      </w:r>
    </w:p>
    <w:p w14:paraId="4D74B69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t>法国统计局官方数据显示，法国目前国有企业总数虽占全国企业总数的4%以内，但法国国有企业的资产总额占总资产的70%左右。</w:t>
      </w:r>
    </w:p>
    <w:p w14:paraId="1BA57E6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t>（https://m.yicai.com/news/100417944.html?from=singlemessage）</w:t>
      </w:r>
    </w:p>
    <w:p w14:paraId="1F3621C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cstheme="minorBidi"/>
          <w:b w:val="0"/>
          <w:bCs w:val="0"/>
          <w:kern w:val="2"/>
          <w:sz w:val="28"/>
          <w:szCs w:val="28"/>
          <w:lang w:val="en-US" w:eastAsia="zh-CN" w:bidi="ar-SA"/>
        </w:rPr>
      </w:pPr>
      <w:r>
        <w:rPr>
          <w:rFonts w:hint="eastAsia" w:cstheme="minorBidi"/>
          <w:b w:val="0"/>
          <w:bCs w:val="0"/>
          <w:kern w:val="2"/>
          <w:sz w:val="28"/>
          <w:szCs w:val="28"/>
          <w:lang w:val="en-US" w:eastAsia="zh-CN" w:bidi="ar-SA"/>
        </w:rPr>
        <w:t>（希望读者朋友们能提供更可靠的数据）</w:t>
      </w:r>
    </w:p>
    <w:p w14:paraId="669384F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leftChars="0" w:right="0" w:rightChars="0"/>
        <w:textAlignment w:val="auto"/>
        <w:rPr>
          <w:rFonts w:hint="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t>就是说，世界主要资本主义国家法国的国有企业的比例高于社会主义越南国有企业的比例。</w:t>
      </w:r>
    </w:p>
    <w:p w14:paraId="15B634B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line="240" w:lineRule="auto"/>
        <w:ind w:left="0" w:leftChars="0" w:right="0" w:rightChars="0"/>
        <w:textAlignment w:val="auto"/>
        <w:rPr>
          <w:rFonts w:hint="default" w:cstheme="minorBidi"/>
          <w:b w:val="0"/>
          <w:bCs w:val="0"/>
          <w:kern w:val="2"/>
          <w:sz w:val="28"/>
          <w:szCs w:val="28"/>
          <w:lang w:val="en-US" w:eastAsia="zh-CN" w:bidi="ar-SA"/>
        </w:rPr>
      </w:pPr>
      <w:r>
        <w:rPr>
          <w:rFonts w:hint="eastAsia" w:cstheme="minorBidi"/>
          <w:b w:val="0"/>
          <w:bCs w:val="0"/>
          <w:kern w:val="2"/>
          <w:sz w:val="28"/>
          <w:szCs w:val="28"/>
          <w:lang w:val="en-US" w:eastAsia="zh-CN" w:bidi="ar-SA"/>
        </w:rPr>
        <w:t>越南特色，到底是特色社会主义还是特色资本主义，还是由读者们自己给出答案吧。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568E06C5"/>
    <w:rsid w:val="03EF2CE9"/>
    <w:rsid w:val="058C4A9A"/>
    <w:rsid w:val="0992356F"/>
    <w:rsid w:val="179C6674"/>
    <w:rsid w:val="1A053A52"/>
    <w:rsid w:val="1FF13663"/>
    <w:rsid w:val="24BE4E51"/>
    <w:rsid w:val="323A3AE5"/>
    <w:rsid w:val="3318016F"/>
    <w:rsid w:val="34415A53"/>
    <w:rsid w:val="3A5C3770"/>
    <w:rsid w:val="3E88226F"/>
    <w:rsid w:val="434D7A2D"/>
    <w:rsid w:val="44D14792"/>
    <w:rsid w:val="4BC6152B"/>
    <w:rsid w:val="4ECE0417"/>
    <w:rsid w:val="65CF1724"/>
    <w:rsid w:val="688C1681"/>
    <w:rsid w:val="6B705A2D"/>
    <w:rsid w:val="72121874"/>
    <w:rsid w:val="789974BA"/>
    <w:rsid w:val="7C5E0E2A"/>
    <w:rsid w:val="7CB17EF5"/>
    <w:rsid w:val="7F510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autoRedefine/>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autoRedefine/>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5">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8">
    <w:name w:val="Strong"/>
    <w:basedOn w:val="7"/>
    <w:autoRedefine/>
    <w:qFormat/>
    <w:uiPriority w:val="0"/>
    <w:rPr>
      <w:b/>
    </w:rPr>
  </w:style>
  <w:style w:type="character" w:styleId="9">
    <w:name w:val="Emphasis"/>
    <w:basedOn w:val="7"/>
    <w:qFormat/>
    <w:uiPriority w:val="0"/>
    <w:rPr>
      <w:i/>
    </w:rPr>
  </w:style>
  <w:style w:type="character" w:styleId="10">
    <w:name w:val="Hyperlink"/>
    <w:basedOn w:val="7"/>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webp"/><Relationship Id="rId8" Type="http://schemas.openxmlformats.org/officeDocument/2006/relationships/image" Target="media/image4.webp"/><Relationship Id="rId7" Type="http://schemas.openxmlformats.org/officeDocument/2006/relationships/image" Target="media/image3.png"/><Relationship Id="rId6" Type="http://schemas.openxmlformats.org/officeDocument/2006/relationships/image" Target="media/image2.webp"/><Relationship Id="rId5" Type="http://schemas.openxmlformats.org/officeDocument/2006/relationships/chart" Target="charts/chart1.xml"/><Relationship Id="rId4" Type="http://schemas.openxmlformats.org/officeDocument/2006/relationships/image" Target="media/image1.webp"/><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4352;&#32418;&#38632;&#25968;&#25454;\&#32771;&#35777;&#25968;&#25454;\&#36234;&#2133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zh-CN" altLang="zh-CN" sz="1800" b="0" i="0" baseline="0">
                <a:effectLst/>
              </a:rPr>
              <a:t>越南国企与私企占比（</a:t>
            </a:r>
            <a:r>
              <a:rPr lang="en-US" altLang="zh-CN" sz="1800" b="0" i="0" baseline="0">
                <a:effectLst/>
              </a:rPr>
              <a:t>%</a:t>
            </a:r>
            <a:r>
              <a:rPr lang="zh-CN" altLang="zh-CN" sz="1800" b="0" i="0" baseline="0">
                <a:effectLst/>
              </a:rPr>
              <a:t>）</a:t>
            </a:r>
            <a:endParaRPr lang="zh-CN" altLang="zh-CN">
              <a:effectLst/>
            </a:endParaRPr>
          </a:p>
        </c:rich>
      </c:tx>
      <c:layout/>
      <c:overlay val="0"/>
      <c:spPr>
        <a:noFill/>
        <a:ln>
          <a:noFill/>
        </a:ln>
        <a:effectLst/>
      </c:spPr>
    </c:title>
    <c:autoTitleDeleted val="0"/>
    <c:view3D>
      <c:rotX val="30"/>
      <c:rotY val="0"/>
      <c:depthPercent val="100"/>
      <c:rAngAx val="0"/>
    </c:view3D>
    <c:floor>
      <c:thickness val="0"/>
      <c:spPr>
        <a:noFill/>
        <a:ln>
          <a:noFill/>
        </a:ln>
        <a:effectLst/>
      </c:spPr>
    </c:floor>
    <c:sideWall>
      <c:thickness val="0"/>
      <c:spPr>
        <a:noFill/>
        <a:ln>
          <a:noFill/>
        </a:ln>
        <a:effectLst/>
      </c:spPr>
    </c:sideWall>
    <c:backWall>
      <c:thickness val="0"/>
      <c:spPr>
        <a:noFill/>
        <a:ln>
          <a:noFill/>
        </a:ln>
        <a:effectLst/>
      </c:spPr>
    </c:backWall>
    <c:plotArea>
      <c:layout/>
      <c:pie3DChart>
        <c:varyColors val="1"/>
        <c:ser>
          <c:idx val="0"/>
          <c:order val="0"/>
          <c:tx>
            <c:strRef>
              <c:f>[越南.xlsx]企业数、员工数、投资!$C$3</c:f>
              <c:strCache>
                <c:ptCount val="1"/>
                <c:pt idx="0">
                  <c:v>占比</c:v>
                </c:pt>
              </c:strCache>
            </c:strRef>
          </c:tx>
          <c:spPr>
            <a:solidFill>
              <a:schemeClr val="accent1"/>
            </a:solidFill>
          </c:spPr>
          <c:explosion val="0"/>
          <c:dPt>
            <c:idx val="0"/>
            <c:bubble3D val="0"/>
            <c:spPr>
              <a:solidFill>
                <a:srgbClr val="FF0000"/>
              </a:solidFill>
              <a:ln>
                <a:noFill/>
              </a:ln>
              <a:effectLst>
                <a:outerShdw blurRad="57150" dist="19050" dir="5400000" algn="ctr" rotWithShape="0">
                  <a:srgbClr val="000000">
                    <a:alpha val="63000"/>
                  </a:srgbClr>
                </a:outerShdw>
              </a:effectLst>
              <a:scene3d>
                <a:camera prst="orthographicFront"/>
                <a:lightRig rig="threePt" dir="t"/>
              </a:scene3d>
              <a:sp3d/>
            </c:spPr>
          </c:dPt>
          <c:dPt>
            <c:idx val="1"/>
            <c:bubble3D val="0"/>
            <c:spPr>
              <a:solidFill>
                <a:schemeClr val="accent1"/>
              </a:solidFill>
              <a:ln>
                <a:noFill/>
              </a:ln>
              <a:effectLst>
                <a:outerShdw blurRad="57150" dist="19050" dir="5400000" algn="ctr" rotWithShape="0">
                  <a:srgbClr val="000000">
                    <a:alpha val="63000"/>
                  </a:srgbClr>
                </a:outerShdw>
              </a:effectLst>
              <a:scene3d>
                <a:camera prst="orthographicFront"/>
                <a:lightRig rig="threePt" dir="t"/>
              </a:scene3d>
              <a:sp3d/>
            </c:spPr>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lt1">
                        <a:lumMod val="85000"/>
                      </a:schemeClr>
                    </a:solidFill>
                    <a:latin typeface="+mn-lt"/>
                    <a:ea typeface="+mn-ea"/>
                    <a:cs typeface="+mn-cs"/>
                  </a:defRPr>
                </a:pPr>
              </a:p>
            </c:txPr>
            <c:dLblPos val="bestFit"/>
            <c:showLegendKey val="0"/>
            <c:showVal val="1"/>
            <c:showCatName val="0"/>
            <c:showSerName val="0"/>
            <c:showPercent val="0"/>
            <c:showBubbleSize val="0"/>
            <c:showLeaderLines val="1"/>
            <c:extLst>
              <c:ext xmlns:c15="http://schemas.microsoft.com/office/drawing/2012/chart" uri="{CE6537A1-D6FC-4f65-9D91-7224C49458BB}">
                <c15:layout/>
                <c15:showLeaderLines val="1"/>
                <c15:leaderLines>
                  <c:spPr>
                    <a:ln w="9525">
                      <a:solidFill>
                        <a:schemeClr val="lt1">
                          <a:lumMod val="95000"/>
                          <a:alpha val="54000"/>
                        </a:schemeClr>
                      </a:solidFill>
                    </a:ln>
                    <a:effectLst/>
                  </c:spPr>
                </c15:leaderLines>
              </c:ext>
            </c:extLst>
          </c:dLbls>
          <c:cat>
            <c:strRef>
              <c:f>[越南.xlsx]企业数、员工数、投资!$A$4:$A$5</c:f>
              <c:strCache>
                <c:ptCount val="2"/>
                <c:pt idx="0">
                  <c:v>国有企业</c:v>
                </c:pt>
                <c:pt idx="1">
                  <c:v>非国有企业</c:v>
                </c:pt>
              </c:strCache>
            </c:strRef>
          </c:cat>
          <c:val>
            <c:numRef>
              <c:f>[越南.xlsx]企业数、员工数、投资!$C$4:$C$5</c:f>
              <c:numCache>
                <c:formatCode>0.0%</c:formatCode>
                <c:ptCount val="2"/>
                <c:pt idx="0">
                  <c:v>0.00296497463232351</c:v>
                </c:pt>
                <c:pt idx="1">
                  <c:v>0.997035025367677</c:v>
                </c:pt>
              </c:numCache>
            </c:numRef>
          </c:val>
        </c:ser>
        <c:dLbls>
          <c:showLegendKey val="0"/>
          <c:showVal val="0"/>
          <c:showCatName val="0"/>
          <c:showSerName val="0"/>
          <c:showPercent val="0"/>
          <c:showBubbleSize val="0"/>
        </c:dLbls>
      </c:pie3DChart>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lt1">
                  <a:lumMod val="85000"/>
                </a:schemeClr>
              </a:solidFill>
              <a:latin typeface="+mn-lt"/>
              <a:ea typeface="+mn-ea"/>
              <a:cs typeface="+mn-cs"/>
            </a:defRPr>
          </a:pPr>
        </a:p>
      </c:txPr>
    </c:legend>
    <c:plotVisOnly val="1"/>
    <c:dispBlanksAs val="gap"/>
    <c:showDLblsOverMax val="0"/>
    <c:extLst>
      <c:ext uri="{0b15fc19-7d7d-44ad-8c2d-2c3a37ce22c3}">
        <chartProps xmlns="https://web.wps.cn/et/2018/main" chartId="{4a45a143-5ee2-41ec-989b-179d258b6bca}"/>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1559</Words>
  <Characters>1697</Characters>
  <Lines>1</Lines>
  <Paragraphs>1</Paragraphs>
  <TotalTime>2</TotalTime>
  <ScaleCrop>false</ScaleCrop>
  <LinksUpToDate>false</LinksUpToDate>
  <CharactersWithSpaces>1697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2024-07-23T15:34:00Z</dcterms:created>
  <dc:creator>Administrator</dc:creator>
  <cp:lastModifiedBy>Administrator</cp:lastModifiedBy>
  <dcterms:modified xsi:type="dcterms:W3CDTF">2025-09-29T00:03:52Z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1DB47F63CD0E4579B58BA0E50F9B25A2_11</vt:lpwstr>
  </property>
</Properties>
</file>