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e-working-directory"/>
      <w:r>
        <w:t xml:space="preserve">The working directory</w:t>
      </w:r>
      <w:bookmarkEnd w:id="21"/>
    </w:p>
    <w:p>
      <w:pPr>
        <w:pStyle w:val="FirstParagraph"/>
      </w:pPr>
      <w:r>
        <w:t xml:space="preserve">/rds/project/jmmh2/rds-jmmh2-projects/olink_proteomics/scallop/NGS</w:t>
      </w:r>
    </w:p>
    <w:p>
      <w:pPr>
        <w:pStyle w:val="Heading3"/>
      </w:pPr>
      <w:bookmarkStart w:id="22" w:name="protein-information"/>
      <w:r>
        <w:t xml:space="preserve">Protein information</w:t>
      </w:r>
      <w:bookmarkEnd w:id="22"/>
    </w:p>
    <w:p>
      <w:pPr>
        <w:pStyle w:val="FirstParagraph"/>
      </w:pPr>
      <w:r>
        <w:t xml:space="preserve">Results at work/ are according to the combination of,</w:t>
      </w:r>
    </w:p>
    <w:p>
      <w:pPr>
        <w:pStyle w:val="Compact"/>
        <w:numPr>
          <w:numId w:val="1001"/>
          <w:ilvl w:val="0"/>
        </w:numPr>
      </w:pPr>
      <w:r>
        <w:t xml:space="preserve">NGS panels – CARDIOMETABOLIC, INFLAMMATION, NEUROLOGY.</w:t>
      </w:r>
    </w:p>
    <w:p>
      <w:pPr>
        <w:pStyle w:val="Compact"/>
        <w:numPr>
          <w:numId w:val="1001"/>
          <w:ilvl w:val="0"/>
        </w:numPr>
      </w:pPr>
      <w:r>
        <w:t xml:space="preserve">qPCR panels – cvd2, cvd3, inf, neu.</w:t>
      </w:r>
    </w:p>
    <w:p>
      <w:pPr>
        <w:pStyle w:val="Compact"/>
        <w:numPr>
          <w:numId w:val="1001"/>
          <w:ilvl w:val="0"/>
        </w:numPr>
      </w:pPr>
      <w:r>
        <w:t xml:space="preserve">QC types:</w:t>
      </w:r>
    </w:p>
    <w:p>
      <w:pPr>
        <w:pStyle w:val="Compact"/>
        <w:numPr>
          <w:numId w:val="1002"/>
          <w:ilvl w:val="1"/>
        </w:numPr>
      </w:pPr>
      <w:r>
        <w:t xml:space="preserve">raw – raw measurements</w:t>
      </w:r>
    </w:p>
    <w:p>
      <w:pPr>
        <w:pStyle w:val="Compact"/>
        <w:numPr>
          <w:numId w:val="1002"/>
          <w:ilvl w:val="1"/>
        </w:numPr>
      </w:pPr>
      <w:r>
        <w:t xml:space="preserve">QC – NGS QC=PASS</w:t>
      </w:r>
    </w:p>
    <w:p>
      <w:pPr>
        <w:pStyle w:val="Compact"/>
        <w:numPr>
          <w:numId w:val="1002"/>
          <w:ilvl w:val="1"/>
        </w:numPr>
      </w:pPr>
      <w:r>
        <w:t xml:space="preserve">LOD – set to be NA when &lt; LOD</w:t>
      </w:r>
    </w:p>
    <w:p>
      <w:pPr>
        <w:pStyle w:val="Compact"/>
        <w:numPr>
          <w:numId w:val="1002"/>
          <w:ilvl w:val="1"/>
        </w:numPr>
      </w:pPr>
      <w:r>
        <w:t xml:space="preserve">col1 – set to NA when 01</w:t>
      </w:r>
    </w:p>
    <w:p>
      <w:pPr>
        <w:pStyle w:val="FirstParagraph"/>
      </w:pPr>
      <w:r>
        <w:t xml:space="preserve">for a total of 16 NGS-Olink-QC combinations, with suffexes .dat for correlation and .pdf for scatter plots.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qPCR panel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Four combinations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cvd2</w:t>
            </w:r>
          </w:p>
        </w:tc>
        <w:tc>
          <w:p>
            <w:pPr>
              <w:pStyle w:val="Compact"/>
              <w:jc w:val="right"/>
            </w:pPr>
            <w:r>
              <w:t xml:space="preserve">CARDIOMETABOLIC-cvd2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cvd3</w:t>
            </w:r>
          </w:p>
        </w:tc>
        <w:tc>
          <w:p>
            <w:pPr>
              <w:pStyle w:val="Compact"/>
              <w:jc w:val="right"/>
            </w:pPr>
            <w:r>
              <w:t xml:space="preserve">CARDIOMETABOLIC-cvd3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INFLAMMATION-inf + [-col1, -LOD, -QC, -raw]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</w:t>
            </w:r>
          </w:p>
        </w:tc>
        <w:tc>
          <w:p>
            <w:pPr>
              <w:pStyle w:val="Compact"/>
              <w:jc w:val="right"/>
            </w:pPr>
            <w:r>
              <w:t xml:space="preserve">NEUROLOGY-neu + [-col1, -LOD, -QC, -raw]</w:t>
            </w:r>
          </w:p>
        </w:tc>
      </w:tr>
    </w:tbl>
    <w:p>
      <w:pPr>
        <w:pStyle w:val="BodyText"/>
      </w:pPr>
      <w:r>
        <w:t xml:space="preserve">The Olink NGS QC=PASS appears to have the highest correlation.</w:t>
      </w:r>
    </w:p>
    <w:p>
      <w:pPr>
        <w:pStyle w:val="BodyText"/>
      </w:pPr>
      <w:r>
        <w:t xml:space="preserve">The corresponding density plots are shown in correlogram.pdf.</w:t>
      </w:r>
    </w:p>
    <w:p>
      <w:pPr>
        <w:pStyle w:val="Heading3"/>
      </w:pPr>
      <w:bookmarkStart w:id="23" w:name="genotype-protein-association"/>
      <w:r>
        <w:t xml:space="preserve">Genotype-protein association</w:t>
      </w:r>
      <w:bookmarkEnd w:id="23"/>
    </w:p>
    <w:p>
      <w:pPr>
        <w:pStyle w:val="FirstParagraph"/>
      </w:pPr>
      <w:r>
        <w:rPr>
          <w:b/>
        </w:rPr>
        <w:t xml:space="preserve">plink2/</w:t>
      </w:r>
      <w:r>
        <w:t xml:space="preserve"> </w:t>
      </w:r>
      <w:r>
        <w:t xml:space="preserve">contains genotype-protein association results for MAF&gt;=0.05, INFO&gt;=0.8.</w:t>
      </w:r>
    </w:p>
    <w:p>
      <w:pPr>
        <w:pStyle w:val="BodyText"/>
      </w:pPr>
      <w:r>
        <w:t xml:space="preserve">NGS.merge is contained for each of the following p value thresholds,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Sentinels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Proteins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1e-5/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p=1e-5</w:t>
            </w:r>
          </w:p>
        </w:tc>
        <w:tc>
          <w:p>
            <w:pPr>
              <w:pStyle w:val="Compact"/>
              <w:jc w:val="right"/>
            </w:pPr>
            <w:r>
              <w:t xml:space="preserve">23,034</w:t>
            </w:r>
          </w:p>
        </w:tc>
        <w:tc>
          <w:p>
            <w:pPr>
              <w:pStyle w:val="Compact"/>
              <w:jc w:val="right"/>
            </w:pPr>
            <w:r>
              <w:t xml:space="preserve">1,472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1e-6/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p=1e-6</w:t>
            </w:r>
          </w:p>
        </w:tc>
        <w:tc>
          <w:p>
            <w:pPr>
              <w:pStyle w:val="Compact"/>
              <w:jc w:val="right"/>
            </w:pPr>
            <w:r>
              <w:t xml:space="preserve">2,836</w:t>
            </w:r>
          </w:p>
        </w:tc>
        <w:tc>
          <w:p>
            <w:pPr>
              <w:pStyle w:val="Compact"/>
              <w:jc w:val="right"/>
            </w:pPr>
            <w:r>
              <w:t xml:space="preserve">1,241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1e-7/</w:t>
            </w:r>
          </w:p>
        </w:tc>
        <w:tc>
          <w:p>
            <w:pPr>
              <w:pStyle w:val="Compact"/>
              <w:jc w:val="left"/>
            </w:pPr>
            <w:r>
              <w:t xml:space="preserve">sentinel identification at p=1e-7</w:t>
            </w:r>
          </w:p>
        </w:tc>
        <w:tc>
          <w:p>
            <w:pPr>
              <w:pStyle w:val="Compact"/>
              <w:jc w:val="right"/>
            </w:pPr>
            <w:r>
              <w:t xml:space="preserve">598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c26c6d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dca49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2020-07-23T07:49:31Z</dcterms:created>
  <dcterms:modified xsi:type="dcterms:W3CDTF">2020-07-23T07:49:31Z</dcterms:modified>
</cp:coreProperties>
</file>