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Phenotype definitions </w:t>
      </w:r>
      <w:r w:rsidDel="00000000" w:rsidR="00000000" w:rsidRPr="00000000">
        <w:rPr>
          <w:b w:val="1"/>
          <w:rtl w:val="0"/>
        </w:rPr>
        <w:t xml:space="preserve">for analyses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6th april 2020 - version 1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Working group: Kenneth Baillie, Mark Daly, Lea Davis, Andrea Ganna, Rachel Liao, Sulggi Lee, James Priest, Alessandra Renieri, Vijay Sankaran, David van Heel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shd w:fill="f8f8f8" w:val="clear"/>
          <w:rtl w:val="0"/>
        </w:rPr>
        <w:t xml:space="preserve">RATIONALE:</w:t>
      </w:r>
      <w:r w:rsidDel="00000000" w:rsidR="00000000" w:rsidRPr="00000000">
        <w:rPr>
          <w:b w:val="1"/>
          <w:i w:val="1"/>
          <w:color w:val="1d1c1d"/>
          <w:shd w:fill="f8f8f8" w:val="clear"/>
          <w:rtl w:val="0"/>
        </w:rPr>
        <w:t xml:space="preserve"> </w:t>
      </w:r>
      <w:r w:rsidDel="00000000" w:rsidR="00000000" w:rsidRPr="00000000">
        <w:rPr>
          <w:color w:val="1d1c1d"/>
          <w:highlight w:val="white"/>
          <w:rtl w:val="0"/>
        </w:rPr>
        <w:t xml:space="preserve">Identification of human genetic factors impacting the COVID19 pandemic represents a simple and scalable set of analyses which holds the potential to rapidly offer important information. Within individual cohorts, we propose establishing a shared set of phenotypes to be combined with genomic data for standard GWAS and further meta-analysis by the analysis group. First, we define a minimal set of analysis phenotypes, which we suggest to be the main analysis deliverable from the participating groups. Second, we provide a number of phenotypes that are less likely to be widely available across groups, but they are still valuable for downstream meta-analytic efforts.</w:t>
      </w:r>
    </w:p>
    <w:p w:rsidR="00000000" w:rsidDel="00000000" w:rsidP="00000000" w:rsidRDefault="00000000" w:rsidRPr="00000000" w14:paraId="00000008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We first provide a definition of SARS-CoV-2 infection.</w:t>
      </w:r>
    </w:p>
    <w:p w:rsidR="00000000" w:rsidDel="00000000" w:rsidP="00000000" w:rsidRDefault="00000000" w:rsidRPr="00000000" w14:paraId="0000000A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color w:val="1d1c1d"/>
          <w:highlight w:val="white"/>
          <w:u w:val="single"/>
        </w:rPr>
      </w:pPr>
      <w:r w:rsidDel="00000000" w:rsidR="00000000" w:rsidRPr="00000000">
        <w:rPr>
          <w:color w:val="1d1c1d"/>
          <w:highlight w:val="white"/>
          <w:u w:val="single"/>
          <w:rtl w:val="0"/>
        </w:rPr>
        <w:t xml:space="preserve">Definition of </w:t>
      </w:r>
      <w:r w:rsidDel="00000000" w:rsidR="00000000" w:rsidRPr="00000000">
        <w:rPr>
          <w:highlight w:val="white"/>
          <w:u w:val="single"/>
          <w:rtl w:val="0"/>
        </w:rPr>
        <w:t xml:space="preserve">SARS-CoV-2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 infection: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color w:val="1d1c1d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Laboratory confirmation of SARS-CoV-2 infection (RNA and/or serology based)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ICD/administrative/EHR coding-based definition of SARS-CoV-2 infection where large-scale &amp; rapid clinical testing unavailable (see </w:t>
      </w:r>
      <w:r w:rsidDel="00000000" w:rsidR="00000000" w:rsidRPr="00000000">
        <w:rPr>
          <w:b w:val="1"/>
          <w:rtl w:val="0"/>
        </w:rPr>
        <w:t xml:space="preserve">Appendix 1 </w:t>
      </w:r>
      <w:r w:rsidDel="00000000" w:rsidR="00000000" w:rsidRPr="00000000">
        <w:rPr>
          <w:rtl w:val="0"/>
        </w:rPr>
        <w:t xml:space="preserve">for codes).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color w:val="1d1c1d"/>
          <w:highlight w:val="white"/>
        </w:rPr>
      </w:pPr>
      <w:r w:rsidDel="00000000" w:rsidR="00000000" w:rsidRPr="00000000">
        <w:rPr>
          <w:i w:val="1"/>
          <w:color w:val="1d1c1d"/>
          <w:highlight w:val="white"/>
          <w:rtl w:val="0"/>
        </w:rPr>
        <w:t xml:space="preserve">Note: Case definition of SARS-CoV-2 infection may change as testing strategies 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color w:val="1d1c1d"/>
          <w:highlight w:val="white"/>
        </w:rPr>
      </w:pPr>
      <w:r w:rsidDel="00000000" w:rsidR="00000000" w:rsidRPr="00000000">
        <w:rPr>
          <w:i w:val="1"/>
          <w:color w:val="1d1c1d"/>
          <w:highlight w:val="white"/>
          <w:rtl w:val="0"/>
        </w:rPr>
        <w:t xml:space="preserve">rapidly evolving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color w:val="1d1c1d"/>
          <w:highlight w:val="white"/>
          <w:u w:val="single"/>
        </w:rPr>
      </w:pPr>
      <w:r w:rsidDel="00000000" w:rsidR="00000000" w:rsidRPr="00000000">
        <w:rPr>
          <w:b w:val="1"/>
          <w:color w:val="1d1c1d"/>
          <w:highlight w:val="white"/>
          <w:u w:val="single"/>
          <w:rtl w:val="0"/>
        </w:rPr>
        <w:t xml:space="preserve">MINIMAL ANALYSIS</w:t>
      </w:r>
    </w:p>
    <w:p w:rsidR="00000000" w:rsidDel="00000000" w:rsidP="00000000" w:rsidRDefault="00000000" w:rsidRPr="00000000" w14:paraId="00000013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Our minimal analysis set focuses on disease severity 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only among </w:t>
      </w:r>
      <w:r w:rsidDel="00000000" w:rsidR="00000000" w:rsidRPr="00000000">
        <w:rPr>
          <w:u w:val="single"/>
          <w:rtl w:val="0"/>
        </w:rPr>
        <w:t xml:space="preserve">SARS-CoV-2 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infected individuals</w:t>
      </w:r>
      <w:r w:rsidDel="00000000" w:rsidR="00000000" w:rsidRPr="00000000">
        <w:rPr>
          <w:color w:val="1d1c1d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Analysis 1</w:t>
      </w:r>
      <w:r w:rsidDel="00000000" w:rsidR="00000000" w:rsidRPr="00000000">
        <w:rPr>
          <w:rtl w:val="0"/>
        </w:rPr>
        <w:t xml:space="preserve"> (name: ANA1):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Inclusion criteria</w:t>
      </w:r>
      <w:r w:rsidDel="00000000" w:rsidR="00000000" w:rsidRPr="00000000">
        <w:rPr>
          <w:rtl w:val="0"/>
        </w:rPr>
        <w:t xml:space="preserve">: SARS-CoV-2 </w:t>
      </w:r>
      <w:r w:rsidDel="00000000" w:rsidR="00000000" w:rsidRPr="00000000">
        <w:rPr>
          <w:color w:val="1d1c1d"/>
          <w:highlight w:val="white"/>
          <w:rtl w:val="0"/>
        </w:rPr>
        <w:t xml:space="preserve">infected individuals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 with a clinical window of 15-90 days from diagnosis *</w:t>
      </w:r>
      <w:r w:rsidDel="00000000" w:rsidR="00000000" w:rsidRPr="00000000">
        <w:rPr>
          <w:color w:val="1d1c1d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Cases: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death</w:t>
      </w:r>
      <w:r w:rsidDel="00000000" w:rsidR="00000000" w:rsidRPr="00000000">
        <w:rPr>
          <w:rtl w:val="0"/>
        </w:rPr>
        <w:t xml:space="preserve"> OR respiratory support</w:t>
      </w:r>
      <w:r w:rsidDel="00000000" w:rsidR="00000000" w:rsidRPr="00000000">
        <w:rPr>
          <w:rtl w:val="0"/>
        </w:rPr>
        <w:t xml:space="preserve"> (intubation, </w:t>
      </w:r>
      <w:r w:rsidDel="00000000" w:rsidR="00000000" w:rsidRPr="00000000">
        <w:rPr>
          <w:rtl w:val="0"/>
        </w:rPr>
        <w:t xml:space="preserve">CPAP</w:t>
      </w:r>
      <w:r w:rsidDel="00000000" w:rsidR="00000000" w:rsidRPr="00000000">
        <w:rPr>
          <w:rtl w:val="0"/>
        </w:rPr>
        <w:t xml:space="preserve">, CPN or BiPAP, See </w:t>
      </w:r>
      <w:r w:rsidDel="00000000" w:rsidR="00000000" w:rsidRPr="00000000">
        <w:rPr>
          <w:b w:val="1"/>
          <w:rtl w:val="0"/>
        </w:rPr>
        <w:t xml:space="preserve">Appendix 1</w:t>
      </w:r>
      <w:r w:rsidDel="00000000" w:rsidR="00000000" w:rsidRPr="00000000">
        <w:rPr>
          <w:rtl w:val="0"/>
        </w:rPr>
        <w:t xml:space="preserve"> for codes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: alive individuals without respiratory support at any point since diagnosis.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Analysis 2 </w:t>
      </w:r>
      <w:r w:rsidDel="00000000" w:rsidR="00000000" w:rsidRPr="00000000">
        <w:rPr>
          <w:rtl w:val="0"/>
        </w:rPr>
        <w:t xml:space="preserve">(name: ANA2):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Inclusion criteria</w:t>
      </w:r>
      <w:r w:rsidDel="00000000" w:rsidR="00000000" w:rsidRPr="00000000">
        <w:rPr>
          <w:rtl w:val="0"/>
        </w:rPr>
        <w:t xml:space="preserve">: SARS-CoV-2 </w:t>
      </w:r>
      <w:r w:rsidDel="00000000" w:rsidR="00000000" w:rsidRPr="00000000">
        <w:rPr>
          <w:color w:val="1d1c1d"/>
          <w:highlight w:val="white"/>
          <w:rtl w:val="0"/>
        </w:rPr>
        <w:t xml:space="preserve">infected individuals 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with a clinical window of 15-90 days from diagnosis *</w:t>
      </w:r>
      <w:r w:rsidDel="00000000" w:rsidR="00000000" w:rsidRPr="00000000">
        <w:rPr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Cases: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hospitalized (in-patient)</w:t>
      </w:r>
      <w:r w:rsidDel="00000000" w:rsidR="00000000" w:rsidRPr="00000000">
        <w:rPr>
          <w:rtl w:val="0"/>
        </w:rPr>
        <w:t xml:space="preserve"> individuals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: non-hospitalized individuals</w:t>
      </w:r>
    </w:p>
    <w:p w:rsidR="00000000" w:rsidDel="00000000" w:rsidP="00000000" w:rsidRDefault="00000000" w:rsidRPr="00000000" w14:paraId="0000001D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b w:val="1"/>
          <w:color w:val="1d1c1d"/>
          <w:highlight w:val="white"/>
          <w:u w:val="single"/>
          <w:rtl w:val="0"/>
        </w:rPr>
        <w:t xml:space="preserve">EXTENDED</w:t>
      </w:r>
      <w:r w:rsidDel="00000000" w:rsidR="00000000" w:rsidRPr="00000000">
        <w:rPr>
          <w:b w:val="1"/>
          <w:color w:val="1d1c1d"/>
          <w:highlight w:val="white"/>
          <w:u w:val="single"/>
          <w:rtl w:val="0"/>
        </w:rPr>
        <w:t xml:space="preserve"> ANALYSES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Extended analyses try to accommodate different analyses that depend on the specific study design or collection approach.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Analysis 3-mortality</w:t>
      </w:r>
      <w:r w:rsidDel="00000000" w:rsidR="00000000" w:rsidRPr="00000000">
        <w:rPr>
          <w:rtl w:val="0"/>
        </w:rPr>
        <w:t xml:space="preserve"> (phenotype name: ANA3)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Inclusion criteria</w:t>
      </w:r>
      <w:r w:rsidDel="00000000" w:rsidR="00000000" w:rsidRPr="00000000">
        <w:rPr>
          <w:rtl w:val="0"/>
        </w:rPr>
        <w:t xml:space="preserve">: SARS-CoV-2 </w:t>
      </w:r>
      <w:r w:rsidDel="00000000" w:rsidR="00000000" w:rsidRPr="00000000">
        <w:rPr>
          <w:color w:val="1d1c1d"/>
          <w:highlight w:val="white"/>
          <w:rtl w:val="0"/>
        </w:rPr>
        <w:t xml:space="preserve">infected individuals 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with a clinical window of 15-90 days from diagnosis *</w:t>
      </w:r>
      <w:r w:rsidDel="00000000" w:rsidR="00000000" w:rsidRPr="00000000">
        <w:rPr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Cases:</w:t>
      </w:r>
      <w:r w:rsidDel="00000000" w:rsidR="00000000" w:rsidRPr="00000000">
        <w:rPr>
          <w:rtl w:val="0"/>
        </w:rPr>
        <w:t xml:space="preserve"> individuals that died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: alive individuals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Analysis 4-severity ordinal </w:t>
      </w:r>
      <w:r w:rsidDel="00000000" w:rsidR="00000000" w:rsidRPr="00000000">
        <w:rPr>
          <w:rtl w:val="0"/>
        </w:rPr>
        <w:t xml:space="preserve"> (phenotype name: ANA4)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Inclusion criteria</w:t>
      </w:r>
      <w:r w:rsidDel="00000000" w:rsidR="00000000" w:rsidRPr="00000000">
        <w:rPr>
          <w:rtl w:val="0"/>
        </w:rPr>
        <w:t xml:space="preserve">: hospitalized SARS-CoV-2 </w:t>
      </w:r>
      <w:r w:rsidDel="00000000" w:rsidR="00000000" w:rsidRPr="00000000">
        <w:rPr>
          <w:color w:val="1d1c1d"/>
          <w:highlight w:val="white"/>
          <w:rtl w:val="0"/>
        </w:rPr>
        <w:t xml:space="preserve">infected individuals 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with a clinical window of 15-90 days from diagnosis *</w:t>
      </w:r>
      <w:r w:rsidDel="00000000" w:rsidR="00000000" w:rsidRPr="00000000">
        <w:rPr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Continuous outcome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 level scale (mild,severe,critical) of COVID19 disease severity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https://jamanetwork.com/journals/jama/fullarticle/2762130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Mild: nonpneumonia and mild pneumonia. Severe: dyspnea, respiratory frequency ≥30/min, blood oxygen saturation ≤93%, partial pressure of arterial oxygen to fraction of inspired oxygen ratio &lt;300, and/or lung infiltrates &gt;50% within 24 to 48 hours. Critical: respiratory failure, septic shock, and/or multiple organ dysfunction or failure. </w:t>
      </w:r>
      <w:r w:rsidDel="00000000" w:rsidR="00000000" w:rsidRPr="00000000">
        <w:rPr>
          <w:i w:val="1"/>
          <w:rtl w:val="0"/>
        </w:rPr>
        <w:t xml:space="preserve">Adaptations of this scale are possible within each study</w:t>
      </w:r>
      <w:r w:rsidDel="00000000" w:rsidR="00000000" w:rsidRPr="00000000">
        <w:rPr>
          <w:rtl w:val="0"/>
        </w:rPr>
        <w:t xml:space="preserve">. Studies will need to report the exact criteria used to define: mild,severe,critical.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Analysis 5-susceptibility </w:t>
      </w:r>
      <w:r w:rsidDel="00000000" w:rsidR="00000000" w:rsidRPr="00000000">
        <w:rPr>
          <w:rtl w:val="0"/>
        </w:rPr>
        <w:t xml:space="preserve"> (phenotype name: ANA5)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Inclusion criteria</w:t>
      </w:r>
      <w:r w:rsidDel="00000000" w:rsidR="00000000" w:rsidRPr="00000000">
        <w:rPr>
          <w:rtl w:val="0"/>
        </w:rPr>
        <w:t xml:space="preserve">: everyone.</w:t>
      </w:r>
      <w:r w:rsidDel="00000000" w:rsidR="00000000" w:rsidRPr="00000000">
        <w:rPr>
          <w:b w:val="1"/>
          <w:i w:val="1"/>
          <w:color w:val="1d1c1d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Cases: </w:t>
      </w:r>
      <w:r w:rsidDel="00000000" w:rsidR="00000000" w:rsidRPr="00000000">
        <w:rPr>
          <w:rtl w:val="0"/>
        </w:rPr>
        <w:t xml:space="preserve">individuals diagnosed with COVID-19. 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Controls: </w:t>
      </w:r>
      <w:r w:rsidDel="00000000" w:rsidR="00000000" w:rsidRPr="00000000">
        <w:rPr>
          <w:rtl w:val="0"/>
        </w:rPr>
        <w:t xml:space="preserve">individuals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documented diagnosis of COVID-19.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Analysis 6-susceptibility-severe </w:t>
      </w:r>
      <w:r w:rsidDel="00000000" w:rsidR="00000000" w:rsidRPr="00000000">
        <w:rPr>
          <w:rtl w:val="0"/>
        </w:rPr>
        <w:t xml:space="preserve"> (phenotype name: ANA6)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Inclusion criteria</w:t>
      </w:r>
      <w:r w:rsidDel="00000000" w:rsidR="00000000" w:rsidRPr="00000000">
        <w:rPr>
          <w:rtl w:val="0"/>
        </w:rPr>
        <w:t xml:space="preserve">: everyone.</w:t>
      </w:r>
      <w:r w:rsidDel="00000000" w:rsidR="00000000" w:rsidRPr="00000000">
        <w:rPr>
          <w:b w:val="1"/>
          <w:i w:val="1"/>
          <w:color w:val="1d1c1d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Cases: </w:t>
      </w:r>
      <w:r w:rsidDel="00000000" w:rsidR="00000000" w:rsidRPr="00000000">
        <w:rPr>
          <w:rtl w:val="0"/>
        </w:rPr>
        <w:t xml:space="preserve">individuals diagnosed with COVID-19 and hospitalized.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Controls: </w:t>
      </w:r>
      <w:r w:rsidDel="00000000" w:rsidR="00000000" w:rsidRPr="00000000">
        <w:rPr>
          <w:rtl w:val="0"/>
        </w:rPr>
        <w:t xml:space="preserve">individuals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documented diagnosis of COVID-19.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Analysis 7-flu symptoms </w:t>
      </w:r>
      <w:r w:rsidDel="00000000" w:rsidR="00000000" w:rsidRPr="00000000">
        <w:rPr>
          <w:rtl w:val="0"/>
        </w:rPr>
        <w:t xml:space="preserve"> (phenotype name: ANA7)</w:t>
      </w:r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Inclusion criteria</w:t>
      </w:r>
      <w:r w:rsidDel="00000000" w:rsidR="00000000" w:rsidRPr="00000000">
        <w:rPr>
          <w:rtl w:val="0"/>
        </w:rPr>
        <w:t xml:space="preserve">: everyone.</w:t>
      </w:r>
      <w:r w:rsidDel="00000000" w:rsidR="00000000" w:rsidRPr="00000000">
        <w:rPr>
          <w:b w:val="1"/>
          <w:i w:val="1"/>
          <w:color w:val="1d1c1d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Cases: </w:t>
      </w:r>
      <w:r w:rsidDel="00000000" w:rsidR="00000000" w:rsidRPr="00000000">
        <w:rPr>
          <w:rtl w:val="0"/>
        </w:rPr>
        <w:t xml:space="preserve">individuals reporting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flu-related symptoms (definition is cohort-specific and based on questionnaire data, see </w:t>
      </w:r>
      <w:r w:rsidDel="00000000" w:rsidR="00000000" w:rsidRPr="00000000">
        <w:rPr>
          <w:b w:val="1"/>
          <w:rtl w:val="0"/>
        </w:rPr>
        <w:t xml:space="preserve">Appendix 2 </w:t>
      </w:r>
      <w:r w:rsidDel="00000000" w:rsidR="00000000" w:rsidRPr="00000000">
        <w:rPr>
          <w:rtl w:val="0"/>
        </w:rPr>
        <w:t xml:space="preserve">for an example) during the COVID-19 pandemic period.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: individuals reporting no flu-related symptoms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* we suggest to include only COVID-19 patients that are followed long enough to allow a reliable classification in  “cases” and “controls”. Thus, we suggest that a time window between 15 and 90 days from the COVID-19 diagnosis is used to decide if the patient should be assigned to the case or control group.</w:t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APPENDIX 1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Diagnostic</w:t>
      </w:r>
      <w:r w:rsidDel="00000000" w:rsidR="00000000" w:rsidRPr="00000000">
        <w:rPr>
          <w:rtl w:val="0"/>
        </w:rPr>
        <w:t xml:space="preserve"> codes for COVID-19 severity (provided by Lea Davis and Julia Sealock)</w:t>
      </w:r>
    </w:p>
    <w:p w:rsidR="00000000" w:rsidDel="00000000" w:rsidP="00000000" w:rsidRDefault="00000000" w:rsidRPr="00000000" w14:paraId="0000003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https://drive.google.com/file/d/1ck0ABYZ6oYnMStoYnGpnA7n1W6wcY3_6/view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APPENDIX 2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240" w:lineRule="auto"/>
        <w:rPr/>
      </w:pPr>
      <w:r w:rsidDel="00000000" w:rsidR="00000000" w:rsidRPr="00000000">
        <w:rPr>
          <w:rtl w:val="0"/>
        </w:rPr>
        <w:t xml:space="preserve">Cases can be defined if they experienced at least two of the following complaints: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Headache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Dizziness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Pain in the chest or heart area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Lower back pain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Nausea or an upset stomach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Sore muscles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Difficulty breathing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Feeling very warm sometimes, then feeling very cold again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numb or tingling sensation somewhere in your body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lump in your throat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Feeling limp somewhere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Feeling heavy in the arms or legs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Shortness of breath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Pain when breathing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Running nose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Sore throat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Cough without mucus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Coughing with mucus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Fever (38 degrees or more)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Diarrhea or abdominal pain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Loss of smell or taste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Red, sore or itchy eyes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Sneezing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manetwork.com/journals/jama/fullarticle/2762130" TargetMode="External"/><Relationship Id="rId7" Type="http://schemas.openxmlformats.org/officeDocument/2006/relationships/hyperlink" Target="https://drive.google.com/file/d/1ck0ABYZ6oYnMStoYnGpnA7n1W6wcY3_6/view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